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r>
        <w:rPr>
          <w:rFonts w:hint="eastAsia"/>
          <w:b/>
          <w:sz w:val="32"/>
        </w:rPr>
        <w:t>中国人民大学国际学院金融风险管理</w:t>
      </w:r>
      <w:r>
        <w:rPr>
          <w:b/>
          <w:sz w:val="32"/>
        </w:rPr>
        <w:t>学科简介</w:t>
      </w:r>
      <w:bookmarkStart w:id="0" w:name="_GoBack"/>
      <w:bookmarkEnd w:id="0"/>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对于现代经济而言，资金是血液，金融是核心，风险及其管理则是基因和基因工程，投资是以风险换收益，金融机构经营本质及其核心竞争力也在于风险管理。党的十八大以来，中央对金融工作特别是防范金融风险高度重视，采取了一系列强化金融监管举措。在2017年全国金融工作会议中，习近平总书记强调指出，防止发生系统性金融风险是金融工作的永恒主题。2022年12月15日，习近平总书记在中央经济工作会议上讲话时强调指出：“有效防范化解重大经济金融风险”，“我们必须坚持标本兼治、远近结合，牢牢守住不发生系统性风险底线”。通过十年的努力，金融风险管理学科在知识体系构建、师资队伍建设、业界资源汇集、科研和学术活动开展、教学模式创新、学生实习管理和就业支持等方面</w:t>
      </w:r>
      <w:r>
        <w:rPr>
          <w:rFonts w:hint="eastAsia"/>
          <w:sz w:val="24"/>
          <w:szCs w:val="24"/>
          <w:lang w:eastAsia="zh-CN"/>
        </w:rPr>
        <w:t>取得了良好成绩，在金融风险管理业界享有较高声誉</w:t>
      </w:r>
      <w:r>
        <w:rPr>
          <w:rFonts w:hint="eastAsia"/>
          <w:sz w:val="24"/>
          <w:szCs w:val="24"/>
        </w:rPr>
        <w:t>。</w:t>
      </w:r>
    </w:p>
    <w:p>
      <w:pPr>
        <w:spacing w:line="360" w:lineRule="auto"/>
        <w:ind w:firstLine="480" w:firstLineChars="200"/>
        <w:rPr>
          <w:sz w:val="24"/>
          <w:szCs w:val="24"/>
        </w:rPr>
      </w:pPr>
      <w:r>
        <w:rPr>
          <w:rFonts w:hint="eastAsia"/>
          <w:sz w:val="24"/>
          <w:szCs w:val="24"/>
        </w:rPr>
        <w:t>在金融风险管理学科建设的过程中，国际学院邀请在国内外金融风险管理领域有卓越成就和影响力的业界专家（包括海内外高校的学者）成为国际学院兼职教授，并组建了金融风险管理学科建设指导委员会，下设全球顾问委员会（GAB）和金融风险建模全球专家委员会（GEC），主要职能包括：为学科发展提供建议、为专业硕士及博士学生授课、与国际学院师生联合开展科研课题的研究、为学生提供实习基地、指导学生就业等。GAB-GEC年度会议于2014年11月首次</w:t>
      </w:r>
      <w:r>
        <w:rPr>
          <w:sz w:val="24"/>
          <w:szCs w:val="24"/>
        </w:rPr>
        <w:t>举办，已成功举办</w:t>
      </w:r>
      <w:r>
        <w:rPr>
          <w:rFonts w:hint="eastAsia"/>
          <w:sz w:val="24"/>
          <w:szCs w:val="24"/>
          <w:lang w:eastAsia="zh-CN"/>
        </w:rPr>
        <w:t>五</w:t>
      </w:r>
      <w:r>
        <w:rPr>
          <w:sz w:val="24"/>
          <w:szCs w:val="24"/>
        </w:rPr>
        <w:t>届，</w:t>
      </w:r>
      <w:r>
        <w:rPr>
          <w:rFonts w:hint="eastAsia"/>
          <w:sz w:val="24"/>
          <w:szCs w:val="24"/>
        </w:rPr>
        <w:t>显著提高了学科知名度，扩大了学科影响力。</w:t>
      </w:r>
    </w:p>
    <w:p>
      <w:pPr>
        <w:spacing w:line="360" w:lineRule="auto"/>
        <w:ind w:firstLine="480" w:firstLineChars="200"/>
        <w:rPr>
          <w:sz w:val="24"/>
          <w:szCs w:val="24"/>
        </w:rPr>
      </w:pPr>
      <w:r>
        <w:rPr>
          <w:rFonts w:hint="eastAsia"/>
          <w:sz w:val="24"/>
          <w:szCs w:val="24"/>
        </w:rPr>
        <w:t>国际学院利用中国人民大学金融风险管理工作室过去</w:t>
      </w:r>
      <w:r>
        <w:rPr>
          <w:rFonts w:hint="eastAsia"/>
          <w:sz w:val="24"/>
          <w:szCs w:val="24"/>
          <w:lang w:eastAsia="zh-CN"/>
        </w:rPr>
        <w:t>二</w:t>
      </w:r>
      <w:r>
        <w:rPr>
          <w:rFonts w:hint="eastAsia"/>
          <w:sz w:val="24"/>
          <w:szCs w:val="24"/>
        </w:rPr>
        <w:t>十多年来的专业资源</w:t>
      </w:r>
      <w:r>
        <w:rPr>
          <w:rFonts w:hint="eastAsia" w:asciiTheme="minorEastAsia" w:hAnsiTheme="minorEastAsia" w:eastAsiaTheme="minorEastAsia"/>
          <w:sz w:val="24"/>
          <w:szCs w:val="24"/>
        </w:rPr>
        <w:t>积累和学科建设准备，开设</w:t>
      </w:r>
      <w:r>
        <w:rPr>
          <w:rFonts w:asciiTheme="minorEastAsia" w:hAnsiTheme="minorEastAsia" w:eastAsiaTheme="minorEastAsia"/>
          <w:sz w:val="24"/>
          <w:szCs w:val="24"/>
        </w:rPr>
        <w:t>了系统的硕博</w:t>
      </w:r>
      <w:r>
        <w:rPr>
          <w:rFonts w:hint="eastAsia" w:asciiTheme="minorEastAsia" w:hAnsiTheme="minorEastAsia" w:eastAsiaTheme="minorEastAsia"/>
          <w:sz w:val="24"/>
          <w:szCs w:val="24"/>
        </w:rPr>
        <w:t>课程体系</w:t>
      </w:r>
      <w:r>
        <w:rPr>
          <w:rFonts w:asciiTheme="minorEastAsia" w:hAnsiTheme="minorEastAsia" w:eastAsiaTheme="minorEastAsia"/>
          <w:sz w:val="24"/>
          <w:szCs w:val="24"/>
        </w:rPr>
        <w:t>，</w:t>
      </w:r>
      <w:r>
        <w:rPr>
          <w:rFonts w:hint="eastAsia" w:asciiTheme="minorEastAsia" w:hAnsiTheme="minorEastAsia" w:eastAsiaTheme="minorEastAsia"/>
          <w:sz w:val="24"/>
          <w:szCs w:val="24"/>
        </w:rPr>
        <w:t>建立了自有师资与业界师资协调运作的教学团队，</w:t>
      </w:r>
      <w:r>
        <w:rPr>
          <w:rFonts w:hint="eastAsia"/>
          <w:sz w:val="24"/>
          <w:szCs w:val="24"/>
        </w:rPr>
        <w:t>将一流的专家资源引入课堂，将业界最前沿的实践与探索带到教学实践中，标志着在国际和国内金融业界发展了二三十年、相对较为成熟的现代金融风险管理前沿理论与技术方法首次被系统纳入中国大学的教学和科研体系。</w:t>
      </w:r>
    </w:p>
    <w:p>
      <w:pPr>
        <w:spacing w:line="360" w:lineRule="auto"/>
        <w:ind w:firstLine="480" w:firstLineChars="200"/>
        <w:rPr>
          <w:sz w:val="24"/>
          <w:szCs w:val="24"/>
        </w:rPr>
      </w:pPr>
      <w:r>
        <w:rPr>
          <w:rFonts w:hint="eastAsia"/>
          <w:sz w:val="24"/>
          <w:szCs w:val="24"/>
        </w:rPr>
        <w:t>对于硕士生培养，学院创造性地提出自主性研究型培养模式，采用“双轨”运行机制与“三基6+2”模式下的课程教学，依据“3+1+1+1”结构组建高效的课程运作团队，建立学生兴趣小组，从而将学生自主学习与研究和专家授课与指导有机结合起来，使学生在牢固掌握“三基”知识的基础上，实现“五大技能”提升，成为优秀的金融风险管理人才。学院针对研究生培养周期较短，风险管理学科内容强度大的情况，设立录取后至入学前的远程学习课程，有效扩展了培养期间。此外，学院还为学生设立了充足的奖学金，加强实习管理和就业支出，进行有效的品格培养与学风建设引导，为学生创造出良好的学习、生活与发展环境。</w:t>
      </w:r>
    </w:p>
    <w:p>
      <w:pPr>
        <w:spacing w:line="360" w:lineRule="auto"/>
        <w:jc w:val="center"/>
        <w:rPr>
          <w:sz w:val="24"/>
          <w:szCs w:val="24"/>
        </w:rPr>
      </w:pPr>
      <w:r>
        <w:rPr>
          <w:rFonts w:hint="eastAsia" w:ascii="宋体" w:hAnsi="宋体" w:cs="宋体"/>
          <w:sz w:val="24"/>
          <w:szCs w:val="24"/>
        </w:rPr>
        <w:drawing>
          <wp:inline distT="0" distB="0" distL="0" distR="0">
            <wp:extent cx="5272405" cy="4513580"/>
            <wp:effectExtent l="0" t="0" r="4445" b="127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4" cstate="print"/>
                    <a:srcRect/>
                    <a:stretch>
                      <a:fillRect/>
                    </a:stretch>
                  </pic:blipFill>
                  <pic:spPr>
                    <a:xfrm>
                      <a:off x="0" y="0"/>
                      <a:ext cx="5272405" cy="4513580"/>
                    </a:xfrm>
                    <a:prstGeom prst="rect">
                      <a:avLst/>
                    </a:prstGeom>
                    <a:noFill/>
                    <a:ln w="9525">
                      <a:noFill/>
                      <a:miter lim="800000"/>
                      <a:headEnd/>
                      <a:tailEnd/>
                    </a:ln>
                  </pic:spPr>
                </pic:pic>
              </a:graphicData>
            </a:graphic>
          </wp:inline>
        </w:drawing>
      </w:r>
    </w:p>
    <w:p>
      <w:pPr>
        <w:tabs>
          <w:tab w:val="left" w:pos="3450"/>
        </w:tabs>
        <w:spacing w:line="360" w:lineRule="auto"/>
        <w:ind w:firstLine="480" w:firstLineChars="200"/>
        <w:rPr>
          <w:rFonts w:hint="eastAsia" w:eastAsia="宋体"/>
          <w:sz w:val="24"/>
          <w:lang w:eastAsia="zh-CN"/>
        </w:rPr>
      </w:pPr>
      <w:r>
        <w:rPr>
          <w:rFonts w:hint="eastAsia"/>
          <w:sz w:val="24"/>
        </w:rPr>
        <w:t>中国人民大学</w:t>
      </w:r>
      <w:r>
        <w:rPr>
          <w:rFonts w:hint="eastAsia"/>
          <w:sz w:val="24"/>
          <w:lang w:eastAsia="zh-CN"/>
        </w:rPr>
        <w:t>苏州校区设有</w:t>
      </w:r>
      <w:r>
        <w:rPr>
          <w:rFonts w:hint="eastAsia"/>
          <w:sz w:val="24"/>
        </w:rPr>
        <w:t>金融大数据实验室</w:t>
      </w:r>
      <w:r>
        <w:rPr>
          <w:rFonts w:hint="eastAsia"/>
          <w:sz w:val="24"/>
          <w:lang w:eastAsia="zh-CN"/>
        </w:rPr>
        <w:t>，</w:t>
      </w:r>
      <w:r>
        <w:rPr>
          <w:rFonts w:hint="eastAsia"/>
          <w:sz w:val="24"/>
        </w:rPr>
        <w:t>实验室主任</w:t>
      </w:r>
      <w:r>
        <w:rPr>
          <w:rFonts w:hint="eastAsia"/>
          <w:sz w:val="24"/>
          <w:lang w:eastAsia="zh-CN"/>
        </w:rPr>
        <w:t>为田鑫副</w:t>
      </w:r>
      <w:r>
        <w:rPr>
          <w:rFonts w:hint="eastAsia"/>
          <w:sz w:val="24"/>
        </w:rPr>
        <w:t>教授，实验室副主任</w:t>
      </w:r>
      <w:r>
        <w:rPr>
          <w:rFonts w:hint="eastAsia"/>
          <w:sz w:val="24"/>
          <w:lang w:eastAsia="zh-CN"/>
        </w:rPr>
        <w:t>为贺学强助理</w:t>
      </w:r>
      <w:r>
        <w:rPr>
          <w:rFonts w:hint="eastAsia"/>
          <w:sz w:val="24"/>
        </w:rPr>
        <w:t>教授</w:t>
      </w:r>
      <w:r>
        <w:rPr>
          <w:rFonts w:hint="eastAsia"/>
          <w:sz w:val="24"/>
          <w:lang w:eastAsia="zh-CN"/>
        </w:rPr>
        <w:t>。</w:t>
      </w:r>
      <w:r>
        <w:rPr>
          <w:rFonts w:hint="eastAsia"/>
          <w:sz w:val="24"/>
        </w:rPr>
        <w:t>金融大数据实验室是国际学院金融风险管理学科从事教学、科学研究、技术开发、社会服务的教学和科研基地。金融大数据实验室面积</w:t>
      </w:r>
      <w:r>
        <w:rPr>
          <w:rFonts w:hint="eastAsia"/>
          <w:sz w:val="24"/>
          <w:lang w:val="en-US" w:eastAsia="zh-CN"/>
        </w:rPr>
        <w:t>3</w:t>
      </w:r>
      <w:r>
        <w:rPr>
          <w:rFonts w:hint="eastAsia"/>
          <w:sz w:val="24"/>
        </w:rPr>
        <w:t>00余平米，</w:t>
      </w:r>
      <w:r>
        <w:rPr>
          <w:rFonts w:hint="eastAsia"/>
          <w:sz w:val="24"/>
          <w:lang w:eastAsia="zh-CN"/>
        </w:rPr>
        <w:t>配备一流终端设备及高算力云服务器，并配有万得（</w:t>
      </w:r>
      <w:r>
        <w:rPr>
          <w:rFonts w:hint="eastAsia"/>
          <w:sz w:val="24"/>
        </w:rPr>
        <w:t>W</w:t>
      </w:r>
      <w:r>
        <w:rPr>
          <w:rFonts w:hint="eastAsia"/>
          <w:sz w:val="24"/>
          <w:lang w:val="en-US" w:eastAsia="zh-CN"/>
        </w:rPr>
        <w:t>ind</w:t>
      </w:r>
      <w:r>
        <w:rPr>
          <w:rFonts w:hint="eastAsia"/>
          <w:sz w:val="24"/>
          <w:lang w:eastAsia="zh-CN"/>
        </w:rPr>
        <w:t>）等国内主流</w:t>
      </w:r>
      <w:r>
        <w:rPr>
          <w:rFonts w:hint="eastAsia"/>
          <w:sz w:val="24"/>
        </w:rPr>
        <w:t>数据库、SAS</w:t>
      </w:r>
      <w:r>
        <w:rPr>
          <w:rFonts w:hint="eastAsia"/>
          <w:sz w:val="24"/>
          <w:lang w:eastAsia="zh-CN"/>
        </w:rPr>
        <w:t>等多种统计软件。</w:t>
      </w:r>
      <w:r>
        <w:rPr>
          <w:rFonts w:hint="eastAsia"/>
          <w:sz w:val="24"/>
        </w:rPr>
        <w:t>实验室建设充分利用云存储、云桌面等主流技术，为学生提供开放、自由、可管理的教学和科研平台</w:t>
      </w:r>
      <w:r>
        <w:rPr>
          <w:rFonts w:hint="eastAsia"/>
          <w:sz w:val="24"/>
          <w:lang w:eastAsia="zh-CN"/>
        </w:rPr>
        <w:t>。</w:t>
      </w:r>
    </w:p>
    <w:p>
      <w:pPr>
        <w:tabs>
          <w:tab w:val="left" w:pos="3450"/>
        </w:tabs>
        <w:spacing w:line="360" w:lineRule="auto"/>
        <w:ind w:firstLine="480" w:firstLineChars="200"/>
        <w:rPr>
          <w:rFonts w:hint="eastAsia" w:ascii="宋体" w:hAnsi="宋体" w:eastAsia="宋体" w:cs="宋体"/>
          <w:color w:val="666666"/>
          <w:sz w:val="24"/>
          <w:szCs w:val="24"/>
          <w:lang w:val="en-US" w:eastAsia="zh-CN"/>
        </w:rPr>
      </w:pPr>
      <w:r>
        <w:rPr>
          <w:rFonts w:hint="eastAsia" w:ascii="宋体" w:hAnsi="宋体" w:eastAsia="宋体" w:cs="宋体"/>
          <w:color w:val="666666"/>
          <w:sz w:val="24"/>
          <w:szCs w:val="24"/>
          <w:lang w:val="en-US" w:eastAsia="zh-CN"/>
        </w:rPr>
        <w:drawing>
          <wp:inline distT="0" distB="0" distL="114300" distR="114300">
            <wp:extent cx="5257800" cy="3509010"/>
            <wp:effectExtent l="0" t="0" r="0" b="15240"/>
            <wp:docPr id="5" name="图片 5" descr="DSC_4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SC_4769"/>
                    <pic:cNvPicPr>
                      <a:picLocks noChangeAspect="1"/>
                    </pic:cNvPicPr>
                  </pic:nvPicPr>
                  <pic:blipFill>
                    <a:blip r:embed="rId5"/>
                    <a:stretch>
                      <a:fillRect/>
                    </a:stretch>
                  </pic:blipFill>
                  <pic:spPr>
                    <a:xfrm>
                      <a:off x="0" y="0"/>
                      <a:ext cx="5257800" cy="3509010"/>
                    </a:xfrm>
                    <a:prstGeom prst="rect">
                      <a:avLst/>
                    </a:prstGeom>
                  </pic:spPr>
                </pic:pic>
              </a:graphicData>
            </a:graphic>
          </wp:inline>
        </w:drawing>
      </w:r>
    </w:p>
    <w:p>
      <w:pPr>
        <w:tabs>
          <w:tab w:val="left" w:pos="3450"/>
        </w:tabs>
        <w:spacing w:line="360" w:lineRule="auto"/>
        <w:ind w:firstLine="482" w:firstLineChars="200"/>
        <w:jc w:val="center"/>
        <w:rPr>
          <w:rFonts w:hint="eastAsia" w:ascii="宋体" w:hAnsi="宋体" w:eastAsia="宋体" w:cs="宋体"/>
          <w:b/>
          <w:bCs/>
          <w:color w:val="666666"/>
          <w:sz w:val="24"/>
          <w:szCs w:val="24"/>
          <w:lang w:val="en-US" w:eastAsia="zh-CN"/>
        </w:rPr>
      </w:pPr>
      <w:r>
        <w:rPr>
          <w:rFonts w:hint="eastAsia" w:ascii="宋体" w:hAnsi="宋体" w:eastAsia="宋体" w:cs="宋体"/>
          <w:b/>
          <w:bCs/>
          <w:color w:val="666666"/>
          <w:sz w:val="24"/>
          <w:szCs w:val="24"/>
          <w:lang w:val="en-US" w:eastAsia="zh-CN"/>
        </w:rPr>
        <w:t>金融大数据实验室</w:t>
      </w:r>
    </w:p>
    <w:p>
      <w:pPr>
        <w:tabs>
          <w:tab w:val="left" w:pos="3450"/>
        </w:tabs>
        <w:spacing w:line="360" w:lineRule="auto"/>
        <w:ind w:firstLine="420" w:firstLineChars="200"/>
        <w:jc w:val="center"/>
        <w:rPr>
          <w:rFonts w:hint="eastAsia" w:ascii="宋体" w:hAnsi="宋体" w:eastAsia="宋体" w:cs="宋体"/>
          <w:b w:val="0"/>
          <w:bCs w:val="0"/>
          <w:color w:val="666666"/>
          <w:sz w:val="21"/>
          <w:szCs w:val="21"/>
          <w:lang w:val="en-US" w:eastAsia="zh-CN"/>
        </w:rPr>
      </w:pPr>
    </w:p>
    <w:p>
      <w:pPr>
        <w:tabs>
          <w:tab w:val="left" w:pos="3450"/>
        </w:tabs>
        <w:spacing w:line="360" w:lineRule="auto"/>
        <w:ind w:firstLine="480" w:firstLineChars="200"/>
        <w:rPr>
          <w:rFonts w:hint="eastAsia"/>
          <w:sz w:val="24"/>
        </w:rPr>
      </w:pPr>
      <w:r>
        <w:rPr>
          <w:rFonts w:hint="eastAsia"/>
          <w:sz w:val="24"/>
        </w:rPr>
        <w:t>“</w:t>
      </w:r>
      <w:r>
        <w:rPr>
          <w:sz w:val="24"/>
        </w:rPr>
        <w:t>高水平</w:t>
      </w:r>
      <w:r>
        <w:rPr>
          <w:rFonts w:hint="eastAsia"/>
          <w:sz w:val="24"/>
        </w:rPr>
        <w:t>、</w:t>
      </w:r>
      <w:r>
        <w:rPr>
          <w:sz w:val="24"/>
        </w:rPr>
        <w:t>有特色、国际性</w:t>
      </w:r>
      <w:r>
        <w:rPr>
          <w:rFonts w:hint="eastAsia"/>
          <w:sz w:val="24"/>
        </w:rPr>
        <w:t>”</w:t>
      </w:r>
      <w:r>
        <w:rPr>
          <w:sz w:val="24"/>
        </w:rPr>
        <w:t>的人才培养</w:t>
      </w:r>
      <w:r>
        <w:rPr>
          <w:rFonts w:hint="eastAsia"/>
          <w:sz w:val="24"/>
        </w:rPr>
        <w:t>理念</w:t>
      </w:r>
      <w:r>
        <w:rPr>
          <w:sz w:val="24"/>
        </w:rPr>
        <w:t>与模式为学生就业打下了坚实的基础。</w:t>
      </w:r>
      <w:r>
        <w:rPr>
          <w:rFonts w:hint="eastAsia"/>
          <w:sz w:val="24"/>
        </w:rPr>
        <w:t>目前，已顺利</w:t>
      </w:r>
      <w:r>
        <w:rPr>
          <w:sz w:val="24"/>
        </w:rPr>
        <w:t>毕业</w:t>
      </w:r>
      <w:r>
        <w:rPr>
          <w:rFonts w:hint="eastAsia"/>
          <w:sz w:val="24"/>
          <w:lang w:eastAsia="zh-CN"/>
        </w:rPr>
        <w:t>七届</w:t>
      </w:r>
      <w:r>
        <w:rPr>
          <w:rFonts w:hint="eastAsia"/>
          <w:sz w:val="24"/>
        </w:rPr>
        <w:t>金融</w:t>
      </w:r>
      <w:r>
        <w:rPr>
          <w:rFonts w:hint="eastAsia"/>
          <w:sz w:val="24"/>
          <w:lang w:eastAsia="zh-CN"/>
        </w:rPr>
        <w:t>（风险管理方向）</w:t>
      </w:r>
      <w:r>
        <w:rPr>
          <w:rFonts w:hint="eastAsia"/>
          <w:sz w:val="24"/>
        </w:rPr>
        <w:t>专业硕士，受到</w:t>
      </w:r>
      <w:r>
        <w:rPr>
          <w:sz w:val="24"/>
        </w:rPr>
        <w:t>用人单位</w:t>
      </w:r>
      <w:r>
        <w:rPr>
          <w:rFonts w:hint="eastAsia"/>
          <w:sz w:val="24"/>
        </w:rPr>
        <w:t>的高度</w:t>
      </w:r>
      <w:r>
        <w:rPr>
          <w:sz w:val="24"/>
        </w:rPr>
        <w:t>认可，</w:t>
      </w:r>
      <w:r>
        <w:rPr>
          <w:rFonts w:hint="eastAsia"/>
          <w:sz w:val="24"/>
          <w:lang w:eastAsia="zh-CN"/>
        </w:rPr>
        <w:t>实现了高质量就业</w:t>
      </w:r>
      <w:r>
        <w:rPr>
          <w:rFonts w:hint="eastAsia"/>
          <w:sz w:val="24"/>
        </w:rPr>
        <w:t>。就业单位包括：</w:t>
      </w:r>
      <w:r>
        <w:rPr>
          <w:rFonts w:hint="eastAsia"/>
          <w:sz w:val="24"/>
          <w:lang w:eastAsia="zh-CN"/>
        </w:rPr>
        <w:t>中国</w:t>
      </w:r>
      <w:r>
        <w:rPr>
          <w:rFonts w:hint="eastAsia"/>
          <w:sz w:val="24"/>
        </w:rPr>
        <w:t>工商银行、</w:t>
      </w:r>
      <w:r>
        <w:rPr>
          <w:rFonts w:hint="eastAsia"/>
          <w:sz w:val="24"/>
          <w:lang w:eastAsia="zh-CN"/>
        </w:rPr>
        <w:t>中国</w:t>
      </w:r>
      <w:r>
        <w:rPr>
          <w:rFonts w:hint="eastAsia"/>
          <w:sz w:val="24"/>
        </w:rPr>
        <w:t>农业银行</w:t>
      </w:r>
      <w:r>
        <w:rPr>
          <w:rFonts w:hint="eastAsia"/>
          <w:sz w:val="24"/>
          <w:lang w:eastAsia="zh-CN"/>
        </w:rPr>
        <w:t>、</w:t>
      </w:r>
      <w:r>
        <w:rPr>
          <w:rFonts w:hint="eastAsia"/>
          <w:sz w:val="24"/>
        </w:rPr>
        <w:t>中国银行、</w:t>
      </w:r>
      <w:r>
        <w:rPr>
          <w:rFonts w:hint="eastAsia"/>
          <w:sz w:val="24"/>
          <w:lang w:eastAsia="zh-CN"/>
        </w:rPr>
        <w:t>中国建设银行、交通银行</w:t>
      </w:r>
      <w:r>
        <w:rPr>
          <w:rFonts w:hint="eastAsia"/>
          <w:sz w:val="24"/>
        </w:rPr>
        <w:t>等大型商业银行总行，中信建投证券</w:t>
      </w:r>
      <w:r>
        <w:rPr>
          <w:rFonts w:hint="eastAsia"/>
          <w:sz w:val="24"/>
          <w:lang w:eastAsia="zh-CN"/>
        </w:rPr>
        <w:t>、中信证券、</w:t>
      </w:r>
      <w:r>
        <w:rPr>
          <w:rFonts w:hint="eastAsia"/>
          <w:sz w:val="24"/>
        </w:rPr>
        <w:t>海通证券、国泰君安证券、申万宏源证券等</w:t>
      </w:r>
      <w:r>
        <w:rPr>
          <w:rFonts w:hint="eastAsia"/>
          <w:sz w:val="24"/>
          <w:lang w:eastAsia="zh-CN"/>
        </w:rPr>
        <w:t>头部</w:t>
      </w:r>
      <w:r>
        <w:rPr>
          <w:rFonts w:hint="eastAsia"/>
          <w:sz w:val="24"/>
        </w:rPr>
        <w:t>券商，</w:t>
      </w:r>
      <w:r>
        <w:rPr>
          <w:rFonts w:hint="eastAsia"/>
          <w:sz w:val="24"/>
          <w:lang w:eastAsia="zh-CN"/>
        </w:rPr>
        <w:t>中金公司、</w:t>
      </w:r>
      <w:r>
        <w:rPr>
          <w:rFonts w:hint="eastAsia"/>
          <w:sz w:val="24"/>
        </w:rPr>
        <w:t>中信信托、汇添资本、嘉实资本、</w:t>
      </w:r>
      <w:r>
        <w:rPr>
          <w:rFonts w:ascii="Helvetica Neue" w:hAnsi="Helvetica Neue" w:eastAsia="Helvetica Neue" w:cs="Helvetica Neue"/>
          <w:b w:val="0"/>
          <w:i w:val="0"/>
          <w:caps w:val="0"/>
          <w:color w:val="3E3E3E"/>
          <w:spacing w:val="0"/>
          <w:sz w:val="24"/>
          <w:szCs w:val="24"/>
          <w:shd w:val="clear" w:fill="FFFFFF"/>
        </w:rPr>
        <w:t>易方达基金</w:t>
      </w:r>
      <w:r>
        <w:rPr>
          <w:rFonts w:hint="eastAsia"/>
          <w:sz w:val="24"/>
        </w:rPr>
        <w:t>等顶级金融机构，中国移动、中关村发展集团等大型国有企业，以及中国人民银行、</w:t>
      </w:r>
      <w:r>
        <w:rPr>
          <w:rFonts w:hint="eastAsia"/>
          <w:sz w:val="24"/>
          <w:lang w:eastAsia="zh-CN"/>
        </w:rPr>
        <w:t>证监会、</w:t>
      </w:r>
      <w:r>
        <w:rPr>
          <w:rFonts w:hint="eastAsia"/>
          <w:sz w:val="24"/>
        </w:rPr>
        <w:t>银</w:t>
      </w:r>
      <w:r>
        <w:rPr>
          <w:rFonts w:hint="eastAsia"/>
          <w:sz w:val="24"/>
          <w:lang w:eastAsia="zh-CN"/>
        </w:rPr>
        <w:t>保</w:t>
      </w:r>
      <w:r>
        <w:rPr>
          <w:rFonts w:hint="eastAsia"/>
          <w:sz w:val="24"/>
        </w:rPr>
        <w:t>监会、</w:t>
      </w:r>
      <w:r>
        <w:rPr>
          <w:rFonts w:hint="eastAsia" w:ascii="Helvetica Neue" w:hAnsi="Helvetica Neue" w:cs="Helvetica Neue"/>
          <w:b w:val="0"/>
          <w:i w:val="0"/>
          <w:caps w:val="0"/>
          <w:color w:val="3E3E3E"/>
          <w:spacing w:val="0"/>
          <w:sz w:val="24"/>
          <w:szCs w:val="24"/>
          <w:shd w:val="clear" w:fill="FFFFFF"/>
          <w:lang w:eastAsia="zh-CN"/>
        </w:rPr>
        <w:t>中纪委</w:t>
      </w:r>
      <w:r>
        <w:rPr>
          <w:rFonts w:ascii="Helvetica Neue" w:hAnsi="Helvetica Neue" w:eastAsia="Helvetica Neue" w:cs="Helvetica Neue"/>
          <w:b w:val="0"/>
          <w:i w:val="0"/>
          <w:caps w:val="0"/>
          <w:color w:val="3E3E3E"/>
          <w:spacing w:val="0"/>
          <w:sz w:val="24"/>
          <w:szCs w:val="24"/>
          <w:shd w:val="clear" w:fill="FFFFFF"/>
        </w:rPr>
        <w:t>和外交部</w:t>
      </w:r>
      <w:r>
        <w:rPr>
          <w:rFonts w:hint="eastAsia"/>
          <w:sz w:val="24"/>
        </w:rPr>
        <w:t>等</w:t>
      </w:r>
      <w:r>
        <w:rPr>
          <w:rFonts w:hint="eastAsia"/>
          <w:sz w:val="24"/>
          <w:lang w:eastAsia="zh-CN"/>
        </w:rPr>
        <w:t>重要</w:t>
      </w:r>
      <w:r>
        <w:rPr>
          <w:rFonts w:hint="eastAsia"/>
          <w:sz w:val="24"/>
        </w:rPr>
        <w:t>国家</w:t>
      </w:r>
      <w:r>
        <w:rPr>
          <w:rFonts w:hint="eastAsia"/>
          <w:sz w:val="24"/>
          <w:lang w:eastAsia="zh-CN"/>
        </w:rPr>
        <w:t>部委</w:t>
      </w:r>
      <w:r>
        <w:rPr>
          <w:rFonts w:hint="eastAsia"/>
          <w:sz w:val="24"/>
        </w:rPr>
        <w:t>机关。</w:t>
      </w:r>
    </w:p>
    <w:p>
      <w:pPr>
        <w:tabs>
          <w:tab w:val="left" w:pos="3450"/>
        </w:tabs>
        <w:spacing w:line="360" w:lineRule="auto"/>
        <w:ind w:firstLine="480" w:firstLineChars="200"/>
        <w:rPr>
          <w:rFonts w:hint="eastAsia"/>
          <w:sz w:val="24"/>
        </w:rPr>
      </w:pPr>
    </w:p>
    <w:p>
      <w:pPr>
        <w:tabs>
          <w:tab w:val="left" w:pos="3450"/>
        </w:tabs>
        <w:spacing w:line="360" w:lineRule="auto"/>
        <w:ind w:firstLine="480" w:firstLineChars="200"/>
        <w:rPr>
          <w:rFonts w:hint="eastAsia"/>
          <w:sz w:val="24"/>
        </w:rPr>
      </w:pPr>
    </w:p>
    <w:p>
      <w:pPr>
        <w:tabs>
          <w:tab w:val="left" w:pos="3450"/>
        </w:tabs>
        <w:spacing w:line="360" w:lineRule="auto"/>
        <w:ind w:firstLine="480" w:firstLineChars="200"/>
        <w:rPr>
          <w:rFonts w:hint="eastAsia"/>
          <w:sz w:val="24"/>
        </w:rPr>
      </w:pPr>
    </w:p>
    <w:p>
      <w:pPr>
        <w:tabs>
          <w:tab w:val="left" w:pos="3450"/>
        </w:tabs>
        <w:spacing w:line="360" w:lineRule="auto"/>
        <w:ind w:firstLine="480" w:firstLineChars="200"/>
        <w:rPr>
          <w:rFonts w:hint="eastAsia"/>
          <w:sz w:val="24"/>
        </w:rPr>
      </w:pPr>
    </w:p>
    <w:p>
      <w:pPr>
        <w:tabs>
          <w:tab w:val="left" w:pos="3450"/>
        </w:tabs>
        <w:spacing w:line="360" w:lineRule="auto"/>
        <w:ind w:firstLine="480" w:firstLineChars="200"/>
        <w:rPr>
          <w:rFonts w:hint="eastAsia"/>
          <w:sz w:val="24"/>
        </w:rPr>
      </w:pPr>
    </w:p>
    <w:p>
      <w:pPr>
        <w:tabs>
          <w:tab w:val="left" w:pos="3450"/>
        </w:tabs>
        <w:spacing w:line="360" w:lineRule="auto"/>
        <w:ind w:firstLine="480" w:firstLineChars="200"/>
        <w:rPr>
          <w:rFonts w:hint="eastAsia"/>
          <w:sz w:val="24"/>
        </w:rPr>
      </w:pPr>
    </w:p>
    <w:p>
      <w:pPr>
        <w:tabs>
          <w:tab w:val="left" w:pos="3450"/>
        </w:tabs>
        <w:spacing w:line="360" w:lineRule="auto"/>
        <w:ind w:firstLine="480" w:firstLineChars="200"/>
        <w:rPr>
          <w:rFonts w:hint="eastAsia"/>
          <w:sz w:val="24"/>
        </w:rPr>
      </w:pPr>
    </w:p>
    <w:p>
      <w:pPr>
        <w:tabs>
          <w:tab w:val="left" w:pos="3450"/>
        </w:tabs>
        <w:spacing w:line="360" w:lineRule="auto"/>
        <w:ind w:firstLine="480" w:firstLineChars="200"/>
        <w:rPr>
          <w:rFonts w:hint="eastAsia"/>
          <w:sz w:val="24"/>
        </w:rPr>
      </w:pPr>
    </w:p>
    <w:p>
      <w:pPr>
        <w:spacing w:line="360" w:lineRule="auto"/>
        <w:jc w:val="center"/>
        <w:rPr>
          <w:rFonts w:hint="eastAsia"/>
          <w:b/>
          <w:sz w:val="24"/>
          <w:lang w:val="en-US" w:eastAsia="zh-CN"/>
        </w:rPr>
      </w:pPr>
      <w:r>
        <w:rPr>
          <w:rFonts w:hint="eastAsia"/>
          <w:b/>
          <w:sz w:val="24"/>
          <w:lang w:val="en-US" w:eastAsia="zh-CN"/>
        </w:rPr>
        <w:t>1、首届金融（风险管理方向）硕士毕业生就业单位类别</w:t>
      </w:r>
    </w:p>
    <w:p>
      <w:pPr>
        <w:tabs>
          <w:tab w:val="left" w:pos="3450"/>
        </w:tabs>
        <w:spacing w:line="360" w:lineRule="auto"/>
        <w:ind w:firstLine="480" w:firstLineChars="200"/>
        <w:rPr>
          <w:rFonts w:hint="eastAsia"/>
          <w:sz w:val="24"/>
        </w:rPr>
      </w:pPr>
      <w:r>
        <w:rPr>
          <w:rFonts w:ascii="宋体" w:hAnsi="宋体" w:cs="宋体"/>
          <w:sz w:val="24"/>
          <w:szCs w:val="24"/>
        </w:rPr>
        <w:drawing>
          <wp:anchor distT="0" distB="0" distL="0" distR="0" simplePos="0" relativeHeight="251659264" behindDoc="0" locked="0" layoutInCell="1" allowOverlap="1">
            <wp:simplePos x="0" y="0"/>
            <wp:positionH relativeFrom="column">
              <wp:posOffset>57150</wp:posOffset>
            </wp:positionH>
            <wp:positionV relativeFrom="paragraph">
              <wp:posOffset>24765</wp:posOffset>
            </wp:positionV>
            <wp:extent cx="5274310" cy="3012440"/>
            <wp:effectExtent l="0" t="0" r="2540" b="16510"/>
            <wp:wrapTopAndBottom/>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360" w:lineRule="auto"/>
        <w:jc w:val="center"/>
        <w:rPr>
          <w:b/>
          <w:sz w:val="24"/>
        </w:rPr>
      </w:pPr>
      <w:r>
        <w:rPr>
          <w:rFonts w:hint="eastAsia"/>
          <w:b/>
          <w:sz w:val="24"/>
          <w:lang w:val="en-US" w:eastAsia="zh-CN"/>
        </w:rPr>
        <w:t>首届（2016</w:t>
      </w:r>
      <w:r>
        <w:rPr>
          <w:rFonts w:hint="eastAsia"/>
          <w:b/>
          <w:sz w:val="24"/>
          <w:lang w:eastAsia="zh-CN"/>
        </w:rPr>
        <w:t>届</w:t>
      </w:r>
      <w:r>
        <w:rPr>
          <w:rFonts w:hint="eastAsia"/>
          <w:b/>
          <w:sz w:val="24"/>
          <w:lang w:val="en-US" w:eastAsia="zh-CN"/>
        </w:rPr>
        <w:t>）</w:t>
      </w:r>
      <w:r>
        <w:rPr>
          <w:rFonts w:hint="eastAsia"/>
          <w:b/>
          <w:sz w:val="24"/>
          <w:lang w:eastAsia="zh-CN"/>
        </w:rPr>
        <w:t>金融（风险管理方向）硕士</w:t>
      </w:r>
      <w:r>
        <w:rPr>
          <w:rFonts w:hint="eastAsia"/>
          <w:b/>
          <w:sz w:val="24"/>
        </w:rPr>
        <w:t>毕业生就业</w:t>
      </w:r>
      <w:r>
        <w:rPr>
          <w:b/>
          <w:sz w:val="24"/>
        </w:rPr>
        <w:t>去向统计</w:t>
      </w:r>
      <w:r>
        <w:rPr>
          <w:rFonts w:hint="eastAsia"/>
          <w:b/>
          <w:sz w:val="24"/>
        </w:rPr>
        <w:t>表</w:t>
      </w:r>
    </w:p>
    <w:tbl>
      <w:tblPr>
        <w:tblStyle w:val="7"/>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589"/>
        <w:gridCol w:w="855"/>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3589"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就业单位</w:t>
            </w:r>
          </w:p>
        </w:tc>
        <w:tc>
          <w:tcPr>
            <w:tcW w:w="855"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3246"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就业单位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中国工商银行股份有限公司总行</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29</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中国光大银行股份有限公司总行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兴业金融租赁有限责任公司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30</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上海东方证券创新投资有限公司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中国农业银行股份有限公司总行</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31</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中国工商银行股份有限公司总行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金杭资产管理（深圳）有限公司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32</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中国农业银行股份有限公司总行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中国工商银行股份有限公司总行</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33</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申万菱信（上海）资产管理有限公司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开源证券股份有限公司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34</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指数资本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中国银行股份有限公司总行</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35</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中国民生银行股份有限公司总行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国家安全部</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36</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海通证券股份有限公司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华夏银行股份有限公司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37</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东吴证券股份有限公司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广发银行信用卡中心</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38</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中国民生银行股份有限公司总行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安信乾盛财富管理（深圳）有限公司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39</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中国移动通信集团公司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东吴证券股份有限公司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40</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恒丰银行股份有限公司总行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中债资信评估有限责任公司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41</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上海国泰君安证券资产管理有限公司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14</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中信建投证券股份有限公司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42</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中国外贸金融租赁有限公司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华英证券有限责任公司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43</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中国光大银行股份有限公司总行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16</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安邦保险集团股份有限公司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44</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嘉实资本管理有限公司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17</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中国人民银行营业管理部</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45</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江苏银行股份有限公司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18</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国都证券股份有限公司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46</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中信信托有限责任公司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19</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上海浦东发展银行股份有限公司总行</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47</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国信证券股份有限公司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20</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泛海控股股份有限公司（民生基金）</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48</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中关村发展集团股份有限公司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21</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中国农业银行股份有限公司总行</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49</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江信基金管理有限公司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22</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中国银行业监督管理委员会</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50</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中国华融资产管理股份有限公司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23</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深圳市直属行政机关（公务员）</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51</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汇添富资本管理有限公司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24</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招商银行股份有限公司总行</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52</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华西证券股份有限公司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25</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国融证券股份有限公司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53</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华夏银行股份有限公司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26</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中关村发展集团股份有限公司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54</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27</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宁波银行股份有限公司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55</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中国工商银行股份有限公司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28</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汉诺威再保险股份公司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56</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中国建筑装饰集团有限公司</w:t>
            </w:r>
          </w:p>
        </w:tc>
      </w:tr>
    </w:tbl>
    <w:p>
      <w:pPr>
        <w:spacing w:line="360" w:lineRule="auto"/>
        <w:rPr>
          <w:rFonts w:hint="eastAsia" w:ascii="宋体" w:hAnsi="宋体" w:cs="宋体"/>
          <w:sz w:val="24"/>
          <w:szCs w:val="24"/>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r>
        <w:rPr>
          <w:rFonts w:hint="eastAsia"/>
          <w:b/>
          <w:sz w:val="24"/>
          <w:lang w:val="en-US" w:eastAsia="zh-CN"/>
        </w:rPr>
        <w:t>2、第二届金融（风险管理方向）硕士毕业生就业单位类别</w:t>
      </w:r>
    </w:p>
    <w:p>
      <w:pPr>
        <w:spacing w:line="360" w:lineRule="auto"/>
        <w:jc w:val="center"/>
        <w:rPr>
          <w:rFonts w:ascii="宋体" w:hAnsi="宋体" w:cs="宋体"/>
          <w:sz w:val="24"/>
          <w:szCs w:val="24"/>
        </w:rPr>
      </w:pPr>
    </w:p>
    <w:p>
      <w:pPr>
        <w:spacing w:line="360" w:lineRule="auto"/>
        <w:rPr>
          <w:rFonts w:hint="eastAsia"/>
          <w:b/>
          <w:sz w:val="24"/>
          <w:lang w:val="en-US" w:eastAsia="zh-CN"/>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45720</wp:posOffset>
            </wp:positionV>
            <wp:extent cx="5260340" cy="2646045"/>
            <wp:effectExtent l="0" t="0" r="16510" b="190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360" w:lineRule="auto"/>
        <w:jc w:val="center"/>
        <w:rPr>
          <w:b/>
          <w:sz w:val="24"/>
        </w:rPr>
      </w:pPr>
      <w:r>
        <w:rPr>
          <w:rFonts w:hint="eastAsia"/>
          <w:b/>
          <w:sz w:val="24"/>
          <w:lang w:val="en-US" w:eastAsia="zh-CN"/>
        </w:rPr>
        <w:t>第二届（2017</w:t>
      </w:r>
      <w:r>
        <w:rPr>
          <w:rFonts w:hint="eastAsia"/>
          <w:b/>
          <w:sz w:val="24"/>
          <w:lang w:eastAsia="zh-CN"/>
        </w:rPr>
        <w:t>届</w:t>
      </w:r>
      <w:r>
        <w:rPr>
          <w:rFonts w:hint="eastAsia"/>
          <w:b/>
          <w:sz w:val="24"/>
          <w:lang w:val="en-US" w:eastAsia="zh-CN"/>
        </w:rPr>
        <w:t>）</w:t>
      </w:r>
      <w:r>
        <w:rPr>
          <w:rFonts w:hint="eastAsia"/>
          <w:b/>
          <w:sz w:val="24"/>
          <w:lang w:eastAsia="zh-CN"/>
        </w:rPr>
        <w:t>金融（风险管理方向）硕士</w:t>
      </w:r>
      <w:r>
        <w:rPr>
          <w:rFonts w:hint="eastAsia"/>
          <w:b/>
          <w:sz w:val="24"/>
        </w:rPr>
        <w:t>毕业生就业</w:t>
      </w:r>
      <w:r>
        <w:rPr>
          <w:b/>
          <w:sz w:val="24"/>
        </w:rPr>
        <w:t>去向统计</w:t>
      </w:r>
      <w:r>
        <w:rPr>
          <w:rFonts w:hint="eastAsia"/>
          <w:b/>
          <w:sz w:val="24"/>
        </w:rPr>
        <w:t>表</w:t>
      </w:r>
    </w:p>
    <w:tbl>
      <w:tblPr>
        <w:tblStyle w:val="6"/>
        <w:tblW w:w="8504" w:type="dxa"/>
        <w:tblInd w:w="0" w:type="dxa"/>
        <w:tblLayout w:type="fixed"/>
        <w:tblCellMar>
          <w:top w:w="0" w:type="dxa"/>
          <w:left w:w="0" w:type="dxa"/>
          <w:bottom w:w="0" w:type="dxa"/>
          <w:right w:w="0" w:type="dxa"/>
        </w:tblCellMar>
      </w:tblPr>
      <w:tblGrid>
        <w:gridCol w:w="876"/>
        <w:gridCol w:w="3225"/>
        <w:gridCol w:w="986"/>
        <w:gridCol w:w="3417"/>
      </w:tblGrid>
      <w:tr>
        <w:tblPrEx>
          <w:tblCellMar>
            <w:top w:w="0" w:type="dxa"/>
            <w:left w:w="0" w:type="dxa"/>
            <w:bottom w:w="0" w:type="dxa"/>
            <w:right w:w="0" w:type="dxa"/>
          </w:tblCellMar>
        </w:tblPrEx>
        <w:trPr>
          <w:trHeight w:val="567" w:hRule="exact"/>
        </w:trPr>
        <w:tc>
          <w:tcPr>
            <w:tcW w:w="87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22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就业单位</w:t>
            </w:r>
          </w:p>
        </w:tc>
        <w:tc>
          <w:tcPr>
            <w:tcW w:w="986"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41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就业单位</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北京三元食品股份有限公司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31</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北京市海淀区国有资产投资经营有限公司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安永（中国）企业咨询有限公司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32</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渤海证券股份有限公司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长富汇银投资基金管理（北京）有限公司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33</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东吴证券股份有限公司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凯联体育文化有限公司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34</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申万宏源证券有限公司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中国光大银行股份有限公司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35</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中国邮政储蓄银行</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宁波银行股份有限公司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36</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唐山银行股份有限公司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交通银行股份有限公司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37</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中信建投证券股份有限公司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浙商银行股份有限公司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38</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交通银行股份有限公司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同方金控资产管理有限公司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39</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弘康人寿保险股份有限公司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际华集团股份有限公司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40</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上海证券交易所</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深圳证券交易所</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41</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中华人民共和国外交部</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中海信托股份有限公司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42</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中国农业银行股份有限公司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浙江省稠州商业银行股份有限公司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43</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中国光大银行股份有限公司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14</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中国农业银行股份有限公司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44</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长江证券股份有限公司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中国光大银行股份有限公司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45</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华夏银行股份有限公司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16</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国泰君安证券股份有限公司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46</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中国工商银行股份有限公司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17</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中国工商银行股份有限公司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47</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湘財证券股份有限公司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18</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上海银行股份有限公司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48</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中国农业银行股份有限公司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19</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中国工商银行股份有限公司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49</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平安综合金融服务有限公司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20</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唐山银行股份有限公司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50</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浙商银行股份有限公司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21</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中国光大银行股份有限公司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51</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太平洋证券股份有限公司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22</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招商证券股份有限公司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52</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中国邮政储蓄银行股份有限公司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23</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重庆银行股份有限公司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53</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深圳市投资控股有限公司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24</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上海浦东发展银行股份有限公司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54</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浙商银行股份有限公司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25</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平安综合金融服务有限公司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55</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中国民生银行</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26</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工银金融租赁有限公司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56</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浙商银行股份有限公司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27</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道富信息科技（浙江）有限公司 </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57</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易方达基金管理有限公司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28</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杭州银行股份有限公司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58</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招商银行股份有限公司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29</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江苏省财政厅</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59</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上海国际信托有限公司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30</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上海清算信息技术有限公司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p>
        </w:tc>
        <w:tc>
          <w:tcPr>
            <w:tcW w:w="3417"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p>
        </w:tc>
      </w:tr>
    </w:tbl>
    <w:p>
      <w:pPr>
        <w:spacing w:line="360" w:lineRule="auto"/>
        <w:jc w:val="center"/>
        <w:rPr>
          <w:rFonts w:hint="eastAsia"/>
          <w:b/>
          <w:sz w:val="24"/>
          <w:lang w:eastAsia="zh-CN"/>
        </w:rPr>
      </w:pPr>
    </w:p>
    <w:p>
      <w:pPr>
        <w:spacing w:line="360" w:lineRule="auto"/>
        <w:jc w:val="center"/>
        <w:rPr>
          <w:rFonts w:hint="eastAsia"/>
          <w:b/>
          <w:sz w:val="24"/>
          <w:lang w:eastAsia="zh-CN"/>
        </w:rPr>
      </w:pPr>
    </w:p>
    <w:p>
      <w:pPr>
        <w:spacing w:line="360" w:lineRule="auto"/>
        <w:jc w:val="center"/>
        <w:rPr>
          <w:rFonts w:hint="eastAsia"/>
          <w:b/>
          <w:sz w:val="24"/>
          <w:lang w:eastAsia="zh-CN"/>
        </w:rPr>
      </w:pPr>
    </w:p>
    <w:p>
      <w:pPr>
        <w:spacing w:line="360" w:lineRule="auto"/>
        <w:jc w:val="center"/>
        <w:rPr>
          <w:rFonts w:hint="eastAsia"/>
          <w:b/>
          <w:sz w:val="24"/>
          <w:lang w:eastAsia="zh-CN"/>
        </w:rPr>
      </w:pPr>
    </w:p>
    <w:p>
      <w:pPr>
        <w:spacing w:line="360" w:lineRule="auto"/>
        <w:jc w:val="center"/>
        <w:rPr>
          <w:rFonts w:hint="eastAsia"/>
          <w:b/>
          <w:sz w:val="24"/>
          <w:lang w:eastAsia="zh-CN"/>
        </w:rPr>
      </w:pPr>
    </w:p>
    <w:p>
      <w:pPr>
        <w:spacing w:line="360" w:lineRule="auto"/>
        <w:jc w:val="center"/>
        <w:rPr>
          <w:rFonts w:hint="eastAsia"/>
          <w:b/>
          <w:sz w:val="24"/>
          <w:lang w:eastAsia="zh-CN"/>
        </w:rPr>
      </w:pPr>
    </w:p>
    <w:p>
      <w:pPr>
        <w:spacing w:line="360" w:lineRule="auto"/>
        <w:jc w:val="center"/>
        <w:rPr>
          <w:rFonts w:hint="eastAsia"/>
          <w:b/>
          <w:sz w:val="24"/>
          <w:lang w:eastAsia="zh-CN"/>
        </w:rPr>
      </w:pPr>
    </w:p>
    <w:p>
      <w:pPr>
        <w:spacing w:line="360" w:lineRule="auto"/>
        <w:jc w:val="center"/>
        <w:rPr>
          <w:rFonts w:hint="eastAsia"/>
          <w:b/>
          <w:sz w:val="24"/>
          <w:lang w:eastAsia="zh-CN"/>
        </w:rPr>
      </w:pPr>
    </w:p>
    <w:p>
      <w:pPr>
        <w:spacing w:line="360" w:lineRule="auto"/>
        <w:jc w:val="center"/>
        <w:rPr>
          <w:rFonts w:hint="eastAsia"/>
          <w:b/>
          <w:sz w:val="24"/>
          <w:lang w:eastAsia="zh-CN"/>
        </w:rPr>
      </w:pPr>
      <w:r>
        <w:rPr>
          <w:rFonts w:hint="eastAsia"/>
          <w:b/>
          <w:sz w:val="24"/>
          <w:lang w:eastAsia="zh-CN"/>
        </w:rPr>
        <w:t>3、第三届金融（风险管理方向）硕士毕业生就业单位类别</w:t>
      </w:r>
    </w:p>
    <w:p>
      <w:pPr>
        <w:spacing w:line="360" w:lineRule="auto"/>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drawing>
          <wp:inline distT="0" distB="0" distL="114300" distR="114300">
            <wp:extent cx="5161915" cy="2876550"/>
            <wp:effectExtent l="4445" t="4445" r="15240"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360" w:lineRule="auto"/>
        <w:jc w:val="center"/>
        <w:rPr>
          <w:rFonts w:hint="eastAsia"/>
          <w:b/>
          <w:sz w:val="24"/>
          <w:lang w:eastAsia="zh-CN"/>
        </w:rPr>
      </w:pPr>
    </w:p>
    <w:p>
      <w:pPr>
        <w:spacing w:line="360" w:lineRule="auto"/>
        <w:jc w:val="center"/>
        <w:rPr>
          <w:b/>
          <w:sz w:val="24"/>
        </w:rPr>
      </w:pPr>
      <w:r>
        <w:rPr>
          <w:rFonts w:hint="eastAsia"/>
          <w:b/>
          <w:sz w:val="24"/>
          <w:lang w:eastAsia="zh-CN"/>
        </w:rPr>
        <w:t>第三届（</w:t>
      </w:r>
      <w:r>
        <w:rPr>
          <w:rFonts w:hint="eastAsia"/>
          <w:b/>
          <w:sz w:val="24"/>
          <w:lang w:val="en-US" w:eastAsia="zh-CN"/>
        </w:rPr>
        <w:t>2018届</w:t>
      </w:r>
      <w:r>
        <w:rPr>
          <w:rFonts w:hint="eastAsia"/>
          <w:b/>
          <w:sz w:val="24"/>
          <w:lang w:eastAsia="zh-CN"/>
        </w:rPr>
        <w:t>）金融（风险管理方向）硕士</w:t>
      </w:r>
      <w:r>
        <w:rPr>
          <w:rFonts w:hint="eastAsia"/>
          <w:b/>
          <w:sz w:val="24"/>
          <w:lang w:val="en-US" w:eastAsia="zh-CN"/>
        </w:rPr>
        <w:t>毕业生</w:t>
      </w:r>
      <w:r>
        <w:rPr>
          <w:rFonts w:hint="eastAsia"/>
          <w:b/>
          <w:sz w:val="24"/>
        </w:rPr>
        <w:t>就业</w:t>
      </w:r>
      <w:r>
        <w:rPr>
          <w:b/>
          <w:sz w:val="24"/>
        </w:rPr>
        <w:t>去向统计</w:t>
      </w:r>
      <w:r>
        <w:rPr>
          <w:rFonts w:hint="eastAsia"/>
          <w:b/>
          <w:sz w:val="24"/>
        </w:rPr>
        <w:t>表</w:t>
      </w:r>
    </w:p>
    <w:tbl>
      <w:tblPr>
        <w:tblStyle w:val="6"/>
        <w:tblW w:w="7860" w:type="dxa"/>
        <w:tblInd w:w="0" w:type="dxa"/>
        <w:shd w:val="clear" w:color="auto" w:fill="auto"/>
        <w:tblLayout w:type="fixed"/>
        <w:tblCellMar>
          <w:top w:w="0" w:type="dxa"/>
          <w:left w:w="0" w:type="dxa"/>
          <w:bottom w:w="0" w:type="dxa"/>
          <w:right w:w="0" w:type="dxa"/>
        </w:tblCellMar>
      </w:tblPr>
      <w:tblGrid>
        <w:gridCol w:w="960"/>
        <w:gridCol w:w="3120"/>
        <w:gridCol w:w="960"/>
        <w:gridCol w:w="2820"/>
      </w:tblGrid>
      <w:tr>
        <w:tblPrEx>
          <w:shd w:val="clear" w:color="auto" w:fill="auto"/>
          <w:tblCellMar>
            <w:top w:w="0" w:type="dxa"/>
            <w:left w:w="0" w:type="dxa"/>
            <w:bottom w:w="0" w:type="dxa"/>
            <w:right w:w="0" w:type="dxa"/>
          </w:tblCellMar>
        </w:tblPrEx>
        <w:trPr>
          <w:trHeight w:val="624" w:hRule="exact"/>
        </w:trPr>
        <w:tc>
          <w:tcPr>
            <w:tcW w:w="9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序号</w:t>
            </w:r>
          </w:p>
        </w:tc>
        <w:tc>
          <w:tcPr>
            <w:tcW w:w="31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就业单位</w:t>
            </w:r>
          </w:p>
        </w:tc>
        <w:tc>
          <w:tcPr>
            <w:tcW w:w="96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序号</w:t>
            </w:r>
          </w:p>
        </w:tc>
        <w:tc>
          <w:tcPr>
            <w:tcW w:w="28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就业单位</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北京沣沛投资管理有限公司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31</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申万宏源证券有限公司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北京金融街资本运营中心</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32</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申万宏源证券有限公司安徽分公司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北京久其软件股份有限公司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33</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深圳市前海梧桐并购投资基金管理有限公司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北京银行股份有限公司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34</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深圳市物业发展（集团）股份有限公司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毕马威企业咨询（中国）有限公司深圳分公司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35</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天风证券股份有限公司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东海证券股份有限公司上海证券自营分公司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36</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兴业银行股份有限公司南京分行</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东兴证券股份有限公司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37</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银行间市场清算所股份有限公司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方正证券股份有限公司上海营业部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38</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永安期货股份有限公司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工商银行股份有限公司北京分行</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39</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长城华西银行股份有限公司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工银金融租赁有限公司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招商银行股份有限公司上海分行</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光大期货有限公司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41</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招商银行股份有限公司深圳分行</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广东省人民政府金融工作办公室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42</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中国工商银行股份有限公司上海市分行</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国家开发银行</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43</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中国光大银行股份有限公司北京分行</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国泰君安证券股份有限公司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44</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中国建设银行上海市分行</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杭州市金融投资集团有限公司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45</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中国金谷国际信托有限责任公司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杭州银行股份有限公司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46</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中国民生银行股份有限公司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17</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华夏资本管理有限公司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47</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中国民生银行股份有限公司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汇添富基金管理股份有限公司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48</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中国农业发展银行</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19</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建信保险资产管理有限公司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49</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中国人民银行</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江苏吴江农村商业银行股份有限公司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50</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中国人民银行上海总部</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21</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开源证券股份有限公司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51</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中国信托登记有限责任公司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22</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南京银行股份有限公司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52</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中国邮政储蓄银行股份有限公司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23</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平安财富理财管理有限公司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53</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中国邮政储蓄银行四川省分行</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24</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平安银行股份有限公司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54</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中国邮政储蓄银行四川省分行</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25</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浦银金融租赁股份有限公司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55</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中泰证券股份有限公司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26</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前海开源基金管理有限公司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56</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中泰证券股份有限公司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27</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上海滴水成海投资管理有限公司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57</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中信银行股份有限公司总行营业部</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28</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上海浦东发展银行股份有限公司上海分行</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58</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中原资产管理有限公司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29</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上海启迪创业孵化器有限公司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59</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中证中小投资者服务中心有限责任公司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上海银行股份有限公司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sz w:val="21"/>
                <w:szCs w:val="21"/>
              </w:rPr>
            </w:pPr>
          </w:p>
        </w:tc>
      </w:tr>
    </w:tbl>
    <w:p>
      <w:pPr>
        <w:spacing w:line="360" w:lineRule="auto"/>
        <w:rPr>
          <w:rFonts w:hint="eastAsia" w:ascii="仿宋" w:hAnsi="仿宋" w:eastAsia="仿宋" w:cs="仿宋"/>
          <w:b/>
          <w:bCs/>
          <w:color w:val="3E3E3E"/>
          <w:kern w:val="0"/>
          <w:sz w:val="24"/>
          <w:szCs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p>
    <w:p>
      <w:pPr>
        <w:spacing w:line="360" w:lineRule="auto"/>
        <w:jc w:val="center"/>
      </w:pPr>
      <w:r>
        <w:rPr>
          <w:rFonts w:hint="eastAsia"/>
          <w:b/>
          <w:sz w:val="24"/>
          <w:lang w:val="en-US" w:eastAsia="zh-CN"/>
        </w:rPr>
        <w:t>4、第四届金融（风险管理方向）硕士毕业生就业单位类别</w:t>
      </w:r>
      <w:r>
        <w:drawing>
          <wp:inline distT="0" distB="0" distL="114300" distR="114300">
            <wp:extent cx="4942840" cy="2857500"/>
            <wp:effectExtent l="5080" t="4445" r="5080" b="1460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360" w:lineRule="auto"/>
        <w:jc w:val="center"/>
        <w:rPr>
          <w:rFonts w:hint="eastAsia"/>
          <w:b/>
          <w:sz w:val="24"/>
          <w:lang w:eastAsia="zh-CN"/>
        </w:rPr>
      </w:pPr>
    </w:p>
    <w:p>
      <w:pPr>
        <w:spacing w:line="360" w:lineRule="auto"/>
        <w:jc w:val="center"/>
        <w:rPr>
          <w:rFonts w:hint="eastAsia"/>
          <w:b/>
          <w:sz w:val="24"/>
          <w:lang w:eastAsia="zh-CN"/>
        </w:rPr>
      </w:pPr>
      <w:r>
        <w:rPr>
          <w:rFonts w:hint="eastAsia"/>
          <w:b/>
          <w:sz w:val="24"/>
          <w:lang w:eastAsia="zh-CN"/>
        </w:rPr>
        <w:t>第四届（</w:t>
      </w:r>
      <w:r>
        <w:rPr>
          <w:rFonts w:hint="eastAsia"/>
          <w:b/>
          <w:sz w:val="24"/>
          <w:lang w:val="en-US" w:eastAsia="zh-CN"/>
        </w:rPr>
        <w:t>2019届</w:t>
      </w:r>
      <w:r>
        <w:rPr>
          <w:rFonts w:hint="eastAsia"/>
          <w:b/>
          <w:sz w:val="24"/>
          <w:lang w:eastAsia="zh-CN"/>
        </w:rPr>
        <w:t>）金融（风险管理方向）硕士毕业生就业去向统计表</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50"/>
        <w:gridCol w:w="2900"/>
        <w:gridCol w:w="917"/>
        <w:gridCol w:w="3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17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就业单位</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21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就业单位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39"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安信农业保险股份有限公司</w:t>
            </w:r>
          </w:p>
        </w:tc>
        <w:tc>
          <w:tcPr>
            <w:tcW w:w="550"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2139"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招商银行股份有限公司总行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北京市发改委</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招商银行股份有限公司总行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高特佳投资</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招商银行上海分行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广东越秀地产</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招商银行上海分行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国家开发银行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浙江省政府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国泰君安证券股份有限公司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中诚信国际信用评级有限公司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河南中金汇融基金管理公司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中共广东省纪律检查委员会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恒丰银行总行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中国葛洲坝集团房地产开发有限公司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华侨城北方投资有限公司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中国工商银行股份有限公司北京市分行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汇添富基金</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中国工商银行股份有限公司北京市分行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建业住宅集团（中国）有限公司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中国工商银行股份有限公司深圳市分行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江苏银行股份有限公司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中国建设银行股份有限公司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平安银行股份有限公司总行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中国民生银行股份有限公司总行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平安银行股份有限公司总行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中国民生银行股份有限公司总行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平安银行股份有限公司总行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中国平安人寿保险股份有限公司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浦银金融租赁股份有限公司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中国人民大学财政金融学院博士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融慧金科金融服务有限公司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中国人民银行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上海银行股份有限公司总行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中国人民银行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深圳乐瑞全球管理有限公司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中国太平洋保险（集团）股份有限公司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四川省农村信用社联合社</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中国雄安集团有限公司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泰康人寿保险股份有限公司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中国邮政储蓄银行股份有限公司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天津银行股份有限公司总行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中国邮政储蓄银行股份有限公司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天津银行股份有限公司总行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中信银行股份有限公司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信保（天津）股权投资基金管理有限公司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中信银行股份有限公司总行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雄安新区管理委员会</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中信证券股份有限公司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永安期货股份有限公司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中银保险有限公司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永赢基金管理有限公司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中再资本管理有限公司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云南国际信托</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57</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中债金融估值中心有限公司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招商银行股份有限公司深圳分行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p>
        </w:tc>
      </w:tr>
    </w:tbl>
    <w:p>
      <w:pPr>
        <w:numPr>
          <w:ilvl w:val="0"/>
          <w:numId w:val="0"/>
        </w:numPr>
        <w:spacing w:line="360" w:lineRule="auto"/>
        <w:ind w:leftChars="0"/>
        <w:jc w:val="both"/>
        <w:rPr>
          <w:rFonts w:hint="eastAsia"/>
          <w:b/>
          <w:sz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r>
        <w:rPr>
          <w:rFonts w:hint="eastAsia"/>
          <w:b/>
          <w:sz w:val="24"/>
          <w:lang w:val="en-US" w:eastAsia="zh-CN"/>
        </w:rPr>
        <w:t>5、第五届金融（风险管理方向）硕士毕业生就业单位类别</w:t>
      </w:r>
    </w:p>
    <w:p>
      <w:pPr>
        <w:numPr>
          <w:ilvl w:val="0"/>
          <w:numId w:val="0"/>
        </w:numPr>
        <w:spacing w:line="360" w:lineRule="auto"/>
        <w:ind w:leftChars="0"/>
        <w:jc w:val="center"/>
      </w:pPr>
    </w:p>
    <w:p>
      <w:pPr>
        <w:spacing w:line="360" w:lineRule="auto"/>
        <w:jc w:val="center"/>
        <w:rPr>
          <w:rFonts w:hint="eastAsia"/>
          <w:b/>
          <w:sz w:val="24"/>
          <w:lang w:eastAsia="zh-CN"/>
        </w:rPr>
      </w:pPr>
      <w:r>
        <w:drawing>
          <wp:inline distT="0" distB="0" distL="114300" distR="114300">
            <wp:extent cx="5273675" cy="2701925"/>
            <wp:effectExtent l="4445" t="4445" r="10160" b="635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360" w:lineRule="auto"/>
        <w:jc w:val="center"/>
        <w:rPr>
          <w:rFonts w:hint="eastAsia"/>
          <w:b/>
          <w:sz w:val="24"/>
          <w:lang w:eastAsia="zh-CN"/>
        </w:rPr>
      </w:pPr>
    </w:p>
    <w:p>
      <w:pPr>
        <w:spacing w:line="360" w:lineRule="auto"/>
        <w:jc w:val="center"/>
        <w:rPr>
          <w:rFonts w:hint="eastAsia"/>
          <w:b/>
          <w:sz w:val="24"/>
          <w:lang w:eastAsia="zh-CN"/>
        </w:rPr>
      </w:pPr>
      <w:r>
        <w:rPr>
          <w:rFonts w:hint="eastAsia"/>
          <w:b/>
          <w:sz w:val="24"/>
          <w:lang w:eastAsia="zh-CN"/>
        </w:rPr>
        <w:t>第五届（</w:t>
      </w:r>
      <w:r>
        <w:rPr>
          <w:rFonts w:hint="eastAsia"/>
          <w:b/>
          <w:sz w:val="24"/>
          <w:lang w:val="en-US" w:eastAsia="zh-CN"/>
        </w:rPr>
        <w:t>2020届</w:t>
      </w:r>
      <w:r>
        <w:rPr>
          <w:rFonts w:hint="eastAsia"/>
          <w:b/>
          <w:sz w:val="24"/>
          <w:lang w:eastAsia="zh-CN"/>
        </w:rPr>
        <w:t>）金融（风险管理方向）硕士毕业生就业去向统计表</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50"/>
        <w:gridCol w:w="2900"/>
        <w:gridCol w:w="917"/>
        <w:gridCol w:w="3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17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就业单位</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21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就业单位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9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安信证券</w:t>
            </w:r>
          </w:p>
        </w:tc>
        <w:tc>
          <w:tcPr>
            <w:tcW w:w="550"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35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绍兴银行总行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北京市海淀区财政局</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深圳国资委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渤海银行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苏州市吴江区政府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财信金控</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太平洋资产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成都高质量发展研究院</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武汉光谷金控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第一创业证券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襄阳高新国有资本投资运营集团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光大证券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兴业银行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国家开发银行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阳光电源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杭州市萧山区投资促进局</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邮政储蓄银行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杭州银行总行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招商银行总行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华安证券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招商银行总行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华泰证券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浙江省国资委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汇添富基金</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郑州商品交易所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江苏银行总行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中国电力财务有限公司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江苏银行总行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中国光大银行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江苏银行总行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中国建设银行上海分行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交通银行总行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中国建设银行总行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开源证券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中国平安财产保险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龙湖地产</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中国人民大学出版社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民生证券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中国人寿养老保险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南京银行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中国邮政储蓄银行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南京紫金投资集团</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中国邮政储蓄银行总行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宁波银行总行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中国邮政储蓄银行总行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宁银理财</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中信证券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浦东发展银行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中央国债登记结算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启迪时尚科技</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中银国际证券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山东省港口集团有限公司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重庆农商行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上海农商行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57</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字节跳动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上海银行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p>
        </w:tc>
      </w:tr>
    </w:tbl>
    <w:p>
      <w:pPr>
        <w:widowControl w:val="0"/>
        <w:numPr>
          <w:ilvl w:val="0"/>
          <w:numId w:val="0"/>
        </w:numPr>
        <w:spacing w:line="360" w:lineRule="auto"/>
        <w:jc w:val="center"/>
        <w:rPr>
          <w:rFonts w:hint="eastAsia"/>
          <w:b/>
          <w:sz w:val="24"/>
          <w:lang w:val="en-US" w:eastAsia="zh-CN"/>
        </w:rPr>
      </w:pPr>
    </w:p>
    <w:p>
      <w:pPr>
        <w:widowControl w:val="0"/>
        <w:numPr>
          <w:ilvl w:val="0"/>
          <w:numId w:val="0"/>
        </w:numPr>
        <w:spacing w:line="360" w:lineRule="auto"/>
        <w:jc w:val="center"/>
        <w:rPr>
          <w:rFonts w:hint="eastAsia"/>
          <w:b/>
          <w:sz w:val="24"/>
          <w:lang w:val="en-US" w:eastAsia="zh-CN"/>
        </w:rPr>
      </w:pPr>
    </w:p>
    <w:p>
      <w:pPr>
        <w:widowControl w:val="0"/>
        <w:numPr>
          <w:ilvl w:val="0"/>
          <w:numId w:val="0"/>
        </w:numPr>
        <w:spacing w:line="360" w:lineRule="auto"/>
        <w:jc w:val="center"/>
        <w:rPr>
          <w:rFonts w:hint="eastAsia"/>
          <w:b/>
          <w:sz w:val="24"/>
          <w:lang w:val="en-US" w:eastAsia="zh-CN"/>
        </w:rPr>
      </w:pPr>
    </w:p>
    <w:p>
      <w:pPr>
        <w:widowControl w:val="0"/>
        <w:numPr>
          <w:ilvl w:val="0"/>
          <w:numId w:val="0"/>
        </w:numPr>
        <w:spacing w:line="360" w:lineRule="auto"/>
        <w:jc w:val="center"/>
        <w:rPr>
          <w:rFonts w:hint="eastAsia"/>
          <w:b/>
          <w:sz w:val="24"/>
          <w:lang w:val="en-US" w:eastAsia="zh-CN"/>
        </w:rPr>
      </w:pPr>
    </w:p>
    <w:p>
      <w:pPr>
        <w:widowControl w:val="0"/>
        <w:numPr>
          <w:ilvl w:val="0"/>
          <w:numId w:val="0"/>
        </w:numPr>
        <w:spacing w:line="360" w:lineRule="auto"/>
        <w:jc w:val="center"/>
        <w:rPr>
          <w:rFonts w:hint="eastAsia"/>
          <w:b/>
          <w:sz w:val="24"/>
          <w:lang w:val="en-US" w:eastAsia="zh-CN"/>
        </w:rPr>
      </w:pPr>
    </w:p>
    <w:p>
      <w:pPr>
        <w:widowControl w:val="0"/>
        <w:numPr>
          <w:ilvl w:val="0"/>
          <w:numId w:val="0"/>
        </w:numPr>
        <w:spacing w:line="360" w:lineRule="auto"/>
        <w:jc w:val="center"/>
        <w:rPr>
          <w:rFonts w:hint="eastAsia"/>
          <w:b/>
          <w:sz w:val="24"/>
          <w:lang w:val="en-US" w:eastAsia="zh-CN"/>
        </w:rPr>
      </w:pPr>
    </w:p>
    <w:p>
      <w:pPr>
        <w:widowControl w:val="0"/>
        <w:numPr>
          <w:ilvl w:val="0"/>
          <w:numId w:val="0"/>
        </w:numPr>
        <w:spacing w:line="360" w:lineRule="auto"/>
        <w:jc w:val="center"/>
        <w:rPr>
          <w:rFonts w:hint="eastAsia"/>
          <w:b/>
          <w:sz w:val="24"/>
          <w:lang w:val="en-US" w:eastAsia="zh-CN"/>
        </w:rPr>
      </w:pPr>
    </w:p>
    <w:p>
      <w:pPr>
        <w:widowControl w:val="0"/>
        <w:numPr>
          <w:ilvl w:val="0"/>
          <w:numId w:val="0"/>
        </w:numPr>
        <w:spacing w:line="360" w:lineRule="auto"/>
        <w:jc w:val="center"/>
        <w:rPr>
          <w:rFonts w:hint="eastAsia"/>
          <w:b/>
          <w:sz w:val="24"/>
          <w:lang w:val="en-US" w:eastAsia="zh-CN"/>
        </w:rPr>
      </w:pPr>
      <w:r>
        <w:rPr>
          <w:rFonts w:hint="eastAsia"/>
          <w:b/>
          <w:sz w:val="24"/>
          <w:lang w:val="en-US" w:eastAsia="zh-CN"/>
        </w:rPr>
        <w:t xml:space="preserve">6、第六届金融（风险管理方向）硕士毕业生就业单位类别 </w:t>
      </w:r>
    </w:p>
    <w:p>
      <w:pPr>
        <w:widowControl w:val="0"/>
        <w:numPr>
          <w:ilvl w:val="0"/>
          <w:numId w:val="0"/>
        </w:numPr>
        <w:spacing w:line="360" w:lineRule="auto"/>
        <w:ind w:leftChars="0"/>
        <w:jc w:val="both"/>
        <w:rPr>
          <w:rFonts w:hint="eastAsia"/>
          <w:b/>
          <w:sz w:val="24"/>
          <w:lang w:val="en-US" w:eastAsia="zh-CN"/>
        </w:rPr>
      </w:pPr>
      <w:r>
        <w:drawing>
          <wp:inline distT="0" distB="0" distL="114300" distR="114300">
            <wp:extent cx="5219700" cy="2705100"/>
            <wp:effectExtent l="4445" t="4445" r="14605" b="14605"/>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val="0"/>
        <w:numPr>
          <w:ilvl w:val="0"/>
          <w:numId w:val="0"/>
        </w:numPr>
        <w:spacing w:line="360" w:lineRule="auto"/>
        <w:ind w:leftChars="0"/>
        <w:jc w:val="center"/>
        <w:rPr>
          <w:rFonts w:hint="eastAsia"/>
          <w:b/>
          <w:sz w:val="24"/>
          <w:lang w:eastAsia="zh-CN"/>
        </w:rPr>
      </w:pPr>
      <w:r>
        <w:rPr>
          <w:rFonts w:hint="eastAsia"/>
          <w:b/>
          <w:sz w:val="24"/>
          <w:lang w:eastAsia="zh-CN"/>
        </w:rPr>
        <w:t>第六届（</w:t>
      </w:r>
      <w:r>
        <w:rPr>
          <w:rFonts w:hint="eastAsia"/>
          <w:b/>
          <w:sz w:val="24"/>
          <w:lang w:val="en-US" w:eastAsia="zh-CN"/>
        </w:rPr>
        <w:t>2021届</w:t>
      </w:r>
      <w:r>
        <w:rPr>
          <w:rFonts w:hint="eastAsia"/>
          <w:b/>
          <w:sz w:val="24"/>
          <w:lang w:eastAsia="zh-CN"/>
        </w:rPr>
        <w:t>）金融（风险管理方向）硕士毕业生就业去向统计表</w:t>
      </w:r>
    </w:p>
    <w:p>
      <w:pPr>
        <w:widowControl w:val="0"/>
        <w:numPr>
          <w:ilvl w:val="0"/>
          <w:numId w:val="0"/>
        </w:numPr>
        <w:spacing w:line="360" w:lineRule="auto"/>
        <w:ind w:leftChars="0"/>
        <w:jc w:val="both"/>
        <w:rPr>
          <w:rFonts w:hint="eastAsia"/>
          <w:b/>
          <w:sz w:val="24"/>
          <w:lang w:eastAsia="zh-CN"/>
        </w:rPr>
      </w:pPr>
    </w:p>
    <w:tbl>
      <w:tblPr>
        <w:tblStyle w:val="6"/>
        <w:tblW w:w="81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72"/>
        <w:gridCol w:w="2816"/>
        <w:gridCol w:w="1002"/>
        <w:gridCol w:w="3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就业单位</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34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就业单位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281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渤海银行总行</w:t>
            </w:r>
          </w:p>
        </w:tc>
        <w:tc>
          <w:tcPr>
            <w:tcW w:w="100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348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上银基金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东北证券</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四川银行总行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东方资产</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31</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苏州银行总行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富国基金</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泰康资产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广东省选调生</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天风证券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广银理财</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武汉东湖高新区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广州农商总行</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35</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兴业证券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国家融资担保基金</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36</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兴银理财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国联证券</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37</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邮政银行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国寿资产</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38</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招商银行总行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国寿资产</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39</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浙商银行总行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沪农商总行</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浙商资管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华商基金</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41</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中国工商银行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华泰证券</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42</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中国工商银行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华为</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43</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中国工商银行总行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华为</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44</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中国工商银行总行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建设银行单证中心</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45</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中国农业银行总行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江苏银行总行</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46</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中国移动集团财务公司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泸州银行总行</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47</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中国银行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宁银理财</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48</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中国银行总行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平安信托</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49</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中建七局地产集团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浦发银行</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中金公司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23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人大财金博士</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51</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中金公司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厦门信托</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52</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中欧基金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25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山东省选调生</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53</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中信建投证券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山西证券</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54</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中信证券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上海市选调生</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55</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中邮保险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上海徐汇区财政局</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56</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字节跳动</w:t>
            </w:r>
          </w:p>
        </w:tc>
      </w:tr>
    </w:tbl>
    <w:p>
      <w:pPr>
        <w:widowControl w:val="0"/>
        <w:numPr>
          <w:ilvl w:val="0"/>
          <w:numId w:val="0"/>
        </w:numPr>
        <w:spacing w:line="360" w:lineRule="auto"/>
        <w:jc w:val="center"/>
        <w:rPr>
          <w:rFonts w:hint="eastAsia"/>
          <w:b/>
          <w:sz w:val="24"/>
          <w:lang w:val="en-US" w:eastAsia="zh-CN"/>
        </w:rPr>
      </w:pPr>
    </w:p>
    <w:p>
      <w:pPr>
        <w:widowControl w:val="0"/>
        <w:numPr>
          <w:ilvl w:val="0"/>
          <w:numId w:val="0"/>
        </w:numPr>
        <w:spacing w:line="360" w:lineRule="auto"/>
        <w:jc w:val="center"/>
        <w:rPr>
          <w:rFonts w:hint="eastAsia"/>
          <w:b/>
          <w:sz w:val="24"/>
          <w:lang w:val="en-US" w:eastAsia="zh-CN"/>
        </w:rPr>
      </w:pPr>
    </w:p>
    <w:p>
      <w:pPr>
        <w:widowControl w:val="0"/>
        <w:numPr>
          <w:ilvl w:val="0"/>
          <w:numId w:val="0"/>
        </w:numPr>
        <w:spacing w:line="360" w:lineRule="auto"/>
        <w:jc w:val="center"/>
        <w:rPr>
          <w:rFonts w:hint="eastAsia"/>
          <w:b/>
          <w:sz w:val="24"/>
          <w:lang w:val="en-US" w:eastAsia="zh-CN"/>
        </w:rPr>
      </w:pPr>
    </w:p>
    <w:p>
      <w:pPr>
        <w:widowControl w:val="0"/>
        <w:numPr>
          <w:ilvl w:val="0"/>
          <w:numId w:val="0"/>
        </w:numPr>
        <w:spacing w:line="360" w:lineRule="auto"/>
        <w:jc w:val="center"/>
        <w:rPr>
          <w:rFonts w:hint="eastAsia"/>
          <w:b/>
          <w:sz w:val="24"/>
          <w:lang w:val="en-US" w:eastAsia="zh-CN"/>
        </w:rPr>
      </w:pPr>
    </w:p>
    <w:p>
      <w:pPr>
        <w:widowControl w:val="0"/>
        <w:numPr>
          <w:ilvl w:val="0"/>
          <w:numId w:val="0"/>
        </w:numPr>
        <w:spacing w:line="360" w:lineRule="auto"/>
        <w:jc w:val="center"/>
        <w:rPr>
          <w:rFonts w:hint="eastAsia"/>
          <w:b/>
          <w:sz w:val="24"/>
          <w:lang w:val="en-US" w:eastAsia="zh-CN"/>
        </w:rPr>
      </w:pPr>
    </w:p>
    <w:p>
      <w:pPr>
        <w:widowControl w:val="0"/>
        <w:numPr>
          <w:ilvl w:val="0"/>
          <w:numId w:val="0"/>
        </w:numPr>
        <w:spacing w:line="360" w:lineRule="auto"/>
        <w:jc w:val="center"/>
        <w:rPr>
          <w:rFonts w:hint="eastAsia"/>
          <w:b/>
          <w:sz w:val="24"/>
          <w:lang w:val="en-US" w:eastAsia="zh-CN"/>
        </w:rPr>
      </w:pPr>
    </w:p>
    <w:p>
      <w:pPr>
        <w:widowControl w:val="0"/>
        <w:numPr>
          <w:ilvl w:val="0"/>
          <w:numId w:val="0"/>
        </w:numPr>
        <w:spacing w:line="360" w:lineRule="auto"/>
        <w:jc w:val="center"/>
        <w:rPr>
          <w:rFonts w:hint="eastAsia"/>
          <w:b/>
          <w:sz w:val="24"/>
          <w:lang w:val="en-US" w:eastAsia="zh-CN"/>
        </w:rPr>
      </w:pPr>
    </w:p>
    <w:p>
      <w:pPr>
        <w:widowControl w:val="0"/>
        <w:numPr>
          <w:ilvl w:val="0"/>
          <w:numId w:val="0"/>
        </w:numPr>
        <w:spacing w:line="360" w:lineRule="auto"/>
        <w:jc w:val="center"/>
        <w:rPr>
          <w:rFonts w:hint="eastAsia"/>
          <w:b/>
          <w:sz w:val="24"/>
          <w:lang w:val="en-US" w:eastAsia="zh-CN"/>
        </w:rPr>
      </w:pPr>
    </w:p>
    <w:p>
      <w:pPr>
        <w:widowControl w:val="0"/>
        <w:numPr>
          <w:ilvl w:val="0"/>
          <w:numId w:val="0"/>
        </w:numPr>
        <w:spacing w:line="360" w:lineRule="auto"/>
        <w:jc w:val="center"/>
        <w:rPr>
          <w:rFonts w:hint="eastAsia"/>
          <w:b/>
          <w:sz w:val="24"/>
          <w:lang w:val="en-US" w:eastAsia="zh-CN"/>
        </w:rPr>
      </w:pPr>
    </w:p>
    <w:p>
      <w:pPr>
        <w:widowControl w:val="0"/>
        <w:numPr>
          <w:ilvl w:val="0"/>
          <w:numId w:val="0"/>
        </w:numPr>
        <w:spacing w:line="360" w:lineRule="auto"/>
        <w:jc w:val="center"/>
        <w:rPr>
          <w:rFonts w:hint="eastAsia"/>
          <w:b/>
          <w:sz w:val="24"/>
          <w:lang w:val="en-US" w:eastAsia="zh-CN"/>
        </w:rPr>
      </w:pPr>
      <w:r>
        <w:rPr>
          <w:rFonts w:hint="eastAsia"/>
          <w:b/>
          <w:sz w:val="24"/>
          <w:lang w:val="en-US" w:eastAsia="zh-CN"/>
        </w:rPr>
        <w:t xml:space="preserve">7、第七届金融（风险管理方向）硕士毕业生就业单位类别 </w:t>
      </w:r>
    </w:p>
    <w:p>
      <w:pPr>
        <w:widowControl w:val="0"/>
        <w:numPr>
          <w:ilvl w:val="0"/>
          <w:numId w:val="0"/>
        </w:numPr>
        <w:spacing w:line="360" w:lineRule="auto"/>
        <w:ind w:leftChars="0"/>
        <w:jc w:val="both"/>
        <w:rPr>
          <w:rFonts w:hint="eastAsia"/>
          <w:b/>
          <w:sz w:val="24"/>
          <w:lang w:val="en-US" w:eastAsia="zh-CN"/>
        </w:rPr>
      </w:pPr>
      <w:r>
        <w:drawing>
          <wp:inline distT="0" distB="0" distL="114300" distR="114300">
            <wp:extent cx="5133975" cy="2828925"/>
            <wp:effectExtent l="4445" t="4445" r="5080" b="5080"/>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widowControl w:val="0"/>
        <w:numPr>
          <w:ilvl w:val="0"/>
          <w:numId w:val="0"/>
        </w:numPr>
        <w:spacing w:line="360" w:lineRule="auto"/>
        <w:ind w:leftChars="0"/>
        <w:jc w:val="center"/>
        <w:rPr>
          <w:rFonts w:hint="eastAsia"/>
          <w:b/>
          <w:sz w:val="24"/>
          <w:lang w:eastAsia="zh-CN"/>
        </w:rPr>
      </w:pPr>
    </w:p>
    <w:p>
      <w:pPr>
        <w:widowControl w:val="0"/>
        <w:numPr>
          <w:ilvl w:val="0"/>
          <w:numId w:val="0"/>
        </w:numPr>
        <w:spacing w:line="360" w:lineRule="auto"/>
        <w:ind w:leftChars="0"/>
        <w:jc w:val="center"/>
        <w:rPr>
          <w:rFonts w:hint="eastAsia"/>
          <w:b/>
          <w:sz w:val="24"/>
          <w:lang w:eastAsia="zh-CN"/>
        </w:rPr>
      </w:pPr>
      <w:r>
        <w:rPr>
          <w:rFonts w:hint="eastAsia"/>
          <w:b/>
          <w:sz w:val="24"/>
          <w:lang w:eastAsia="zh-CN"/>
        </w:rPr>
        <w:t>第七届（</w:t>
      </w:r>
      <w:r>
        <w:rPr>
          <w:rFonts w:hint="eastAsia"/>
          <w:b/>
          <w:sz w:val="24"/>
          <w:lang w:val="en-US" w:eastAsia="zh-CN"/>
        </w:rPr>
        <w:t>2022届</w:t>
      </w:r>
      <w:r>
        <w:rPr>
          <w:rFonts w:hint="eastAsia"/>
          <w:b/>
          <w:sz w:val="24"/>
          <w:lang w:eastAsia="zh-CN"/>
        </w:rPr>
        <w:t>）金融（风险管理方向）硕士毕业生就业去向统计表</w:t>
      </w:r>
    </w:p>
    <w:tbl>
      <w:tblPr>
        <w:tblStyle w:val="6"/>
        <w:tblW w:w="80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5"/>
        <w:gridCol w:w="3063"/>
        <w:gridCol w:w="1095"/>
        <w:gridCol w:w="2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财通证券股权融资部管培生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苏州银行总行金融科技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财信金控管培生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泰康养老投资管理部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德邦证券研究所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泰康资产交易部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东北证券研究所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温州银行总行管培生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东方投行股权业务线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武汉农商行总行管培生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格林美投资部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邮储总行金融同业部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工行北分专业英才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远信投资研究部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工银理财管培生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长城基金固收部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工银租赁租赁业务部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长江证券研究部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光大证券研究所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招行卡中心产品经理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广发证券投行委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浙商银行总行机关岗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国金证券投资银行部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浙商银行总行金融市场部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国金证券做市交易部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郑州银行总行管培生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国开行广分信贷管理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支付宝数字金融线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国信证券金融市场总部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中国建设银行总行投行部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国信证券经济研究所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中金公司固收部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国信证券投资银行部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中金公司固收部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国信证券战略投资岗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中信建投权益自营部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华泰联合证券投资银行部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中信建投投行部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华泰联合证券投资银行部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中信建投投行部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建信基金研究部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中信建投投行部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建信金融租赁市场部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中信建投研究发展部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江苏银行总行资金营运中心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中信银行总行管培生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蚂蚁集团风险策略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中信证券固收部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南京定向选聘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中信证券固收部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浦发银行管培生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中信证券投行部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人大财金博士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中信证券研究部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上海银行总行业务培训生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中邮理财市场部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上交所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重庆农商行总行管培生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申港证券投行部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重庆银行总行管培生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申万宏源资管部风控岗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重庆银行总行管培生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盛世投资分析师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21"/>
                <w:szCs w:val="21"/>
                <w:u w:val="none"/>
              </w:rPr>
            </w:pPr>
          </w:p>
        </w:tc>
      </w:tr>
    </w:tbl>
    <w:p>
      <w:pPr>
        <w:widowControl w:val="0"/>
        <w:numPr>
          <w:ilvl w:val="0"/>
          <w:numId w:val="0"/>
        </w:numPr>
        <w:spacing w:line="360" w:lineRule="auto"/>
        <w:ind w:leftChars="0"/>
        <w:jc w:val="both"/>
        <w:rPr>
          <w:rFonts w:hint="eastAsia"/>
          <w:b/>
          <w:sz w:val="24"/>
          <w:lang w:eastAsia="zh-CN"/>
        </w:rPr>
      </w:pPr>
    </w:p>
    <w:p>
      <w:pPr>
        <w:widowControl w:val="0"/>
        <w:numPr>
          <w:ilvl w:val="0"/>
          <w:numId w:val="0"/>
        </w:numPr>
        <w:spacing w:line="360" w:lineRule="auto"/>
        <w:ind w:leftChars="0"/>
        <w:jc w:val="both"/>
        <w:rPr>
          <w:rFonts w:hint="default"/>
          <w:b/>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panose1 w:val="020B0604020202020204"/>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3ZmI3ZWY1OGRhMWQ4Yjg0NTUyNjJmN2ZlNDcwNDUifQ=="/>
  </w:docVars>
  <w:rsids>
    <w:rsidRoot w:val="00E71B24"/>
    <w:rsid w:val="000136B9"/>
    <w:rsid w:val="00020979"/>
    <w:rsid w:val="000221A6"/>
    <w:rsid w:val="00093F6F"/>
    <w:rsid w:val="000A091C"/>
    <w:rsid w:val="000A0E7F"/>
    <w:rsid w:val="000E7D23"/>
    <w:rsid w:val="000F0CA1"/>
    <w:rsid w:val="00104FBB"/>
    <w:rsid w:val="001063F1"/>
    <w:rsid w:val="00122A8A"/>
    <w:rsid w:val="001262D4"/>
    <w:rsid w:val="00136DAC"/>
    <w:rsid w:val="001535F6"/>
    <w:rsid w:val="001540BE"/>
    <w:rsid w:val="0015704E"/>
    <w:rsid w:val="00185412"/>
    <w:rsid w:val="001959CC"/>
    <w:rsid w:val="00201A00"/>
    <w:rsid w:val="002216F0"/>
    <w:rsid w:val="00244B6A"/>
    <w:rsid w:val="002D626F"/>
    <w:rsid w:val="002F41A6"/>
    <w:rsid w:val="00301C51"/>
    <w:rsid w:val="00334D7C"/>
    <w:rsid w:val="00346922"/>
    <w:rsid w:val="0035724B"/>
    <w:rsid w:val="00362FB9"/>
    <w:rsid w:val="00391CD5"/>
    <w:rsid w:val="003B2E59"/>
    <w:rsid w:val="003C0F6D"/>
    <w:rsid w:val="003C1E39"/>
    <w:rsid w:val="003D1F1E"/>
    <w:rsid w:val="00435D76"/>
    <w:rsid w:val="00461430"/>
    <w:rsid w:val="00475DA1"/>
    <w:rsid w:val="004A24CF"/>
    <w:rsid w:val="004A7DFE"/>
    <w:rsid w:val="004C3FC8"/>
    <w:rsid w:val="004D15CD"/>
    <w:rsid w:val="005013EF"/>
    <w:rsid w:val="00537F9F"/>
    <w:rsid w:val="005466CB"/>
    <w:rsid w:val="005C14C5"/>
    <w:rsid w:val="005E023C"/>
    <w:rsid w:val="005F5BF6"/>
    <w:rsid w:val="00601043"/>
    <w:rsid w:val="006519DE"/>
    <w:rsid w:val="006740E2"/>
    <w:rsid w:val="00674FB8"/>
    <w:rsid w:val="00686D12"/>
    <w:rsid w:val="006E6D12"/>
    <w:rsid w:val="00716BEB"/>
    <w:rsid w:val="007473B4"/>
    <w:rsid w:val="00771A33"/>
    <w:rsid w:val="00780B54"/>
    <w:rsid w:val="007863C9"/>
    <w:rsid w:val="007B3BF7"/>
    <w:rsid w:val="007D488F"/>
    <w:rsid w:val="007D5C30"/>
    <w:rsid w:val="007D6F1D"/>
    <w:rsid w:val="007E5AD2"/>
    <w:rsid w:val="007E6154"/>
    <w:rsid w:val="007F51F5"/>
    <w:rsid w:val="007F5680"/>
    <w:rsid w:val="00805A88"/>
    <w:rsid w:val="0081153A"/>
    <w:rsid w:val="00835CF7"/>
    <w:rsid w:val="0087031C"/>
    <w:rsid w:val="00887990"/>
    <w:rsid w:val="00892606"/>
    <w:rsid w:val="008A445F"/>
    <w:rsid w:val="008A4BD3"/>
    <w:rsid w:val="008A5DA3"/>
    <w:rsid w:val="008C7494"/>
    <w:rsid w:val="008E183B"/>
    <w:rsid w:val="008E5A3C"/>
    <w:rsid w:val="00966710"/>
    <w:rsid w:val="00966993"/>
    <w:rsid w:val="00972FDD"/>
    <w:rsid w:val="0099184F"/>
    <w:rsid w:val="009A59E0"/>
    <w:rsid w:val="009D1FD4"/>
    <w:rsid w:val="009F02A4"/>
    <w:rsid w:val="00A21BA1"/>
    <w:rsid w:val="00A60D4B"/>
    <w:rsid w:val="00A93733"/>
    <w:rsid w:val="00AC1DF1"/>
    <w:rsid w:val="00AC3C0C"/>
    <w:rsid w:val="00B12CF9"/>
    <w:rsid w:val="00B57E50"/>
    <w:rsid w:val="00B60D5A"/>
    <w:rsid w:val="00B6341F"/>
    <w:rsid w:val="00B65FA7"/>
    <w:rsid w:val="00B707C5"/>
    <w:rsid w:val="00B977E9"/>
    <w:rsid w:val="00BB5B1A"/>
    <w:rsid w:val="00BB6933"/>
    <w:rsid w:val="00BE73AB"/>
    <w:rsid w:val="00BF7727"/>
    <w:rsid w:val="00C06155"/>
    <w:rsid w:val="00C1364B"/>
    <w:rsid w:val="00C26252"/>
    <w:rsid w:val="00C70D99"/>
    <w:rsid w:val="00C833AB"/>
    <w:rsid w:val="00CF3B94"/>
    <w:rsid w:val="00D14E4D"/>
    <w:rsid w:val="00DC1F69"/>
    <w:rsid w:val="00DD4BAB"/>
    <w:rsid w:val="00DE12D0"/>
    <w:rsid w:val="00E126E5"/>
    <w:rsid w:val="00E209FB"/>
    <w:rsid w:val="00E27339"/>
    <w:rsid w:val="00E334B1"/>
    <w:rsid w:val="00E71B24"/>
    <w:rsid w:val="00E73E8D"/>
    <w:rsid w:val="00E93C18"/>
    <w:rsid w:val="00EA1BB1"/>
    <w:rsid w:val="00F31C16"/>
    <w:rsid w:val="00F92CF0"/>
    <w:rsid w:val="00FA0112"/>
    <w:rsid w:val="00FA15D7"/>
    <w:rsid w:val="00FE2EDF"/>
    <w:rsid w:val="00FF5FF7"/>
    <w:rsid w:val="02031545"/>
    <w:rsid w:val="057165AE"/>
    <w:rsid w:val="086F6E99"/>
    <w:rsid w:val="0B60306D"/>
    <w:rsid w:val="0DE9321B"/>
    <w:rsid w:val="0F831B8B"/>
    <w:rsid w:val="107A3F7A"/>
    <w:rsid w:val="10BD0BAF"/>
    <w:rsid w:val="145076CB"/>
    <w:rsid w:val="157603E7"/>
    <w:rsid w:val="17AF7D33"/>
    <w:rsid w:val="1AD52A1A"/>
    <w:rsid w:val="1D7536EB"/>
    <w:rsid w:val="1E655CB1"/>
    <w:rsid w:val="20B12822"/>
    <w:rsid w:val="218D70BC"/>
    <w:rsid w:val="28F44906"/>
    <w:rsid w:val="31D717ED"/>
    <w:rsid w:val="332E5CFC"/>
    <w:rsid w:val="36CD4933"/>
    <w:rsid w:val="39971616"/>
    <w:rsid w:val="42A80F01"/>
    <w:rsid w:val="577C2A2A"/>
    <w:rsid w:val="57A52940"/>
    <w:rsid w:val="617E2C0F"/>
    <w:rsid w:val="698C3486"/>
    <w:rsid w:val="7E58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99"/>
    <w:rPr>
      <w:rFonts w:ascii="Calibri" w:hAnsi="Calibri" w:eastAsia="宋体" w:cs="Times New Roman"/>
      <w:sz w:val="18"/>
      <w:szCs w:val="18"/>
    </w:rPr>
  </w:style>
  <w:style w:type="character" w:customStyle="1" w:styleId="10">
    <w:name w:val="页脚 Char"/>
    <w:basedOn w:val="8"/>
    <w:link w:val="3"/>
    <w:qFormat/>
    <w:uiPriority w:val="99"/>
    <w:rPr>
      <w:rFonts w:ascii="Calibri" w:hAnsi="Calibri" w:eastAsia="宋体" w:cs="Times New Roman"/>
      <w:sz w:val="18"/>
      <w:szCs w:val="18"/>
    </w:rPr>
  </w:style>
  <w:style w:type="character" w:customStyle="1" w:styleId="11">
    <w:name w:val="批注框文本 Char"/>
    <w:basedOn w:val="8"/>
    <w:link w:val="2"/>
    <w:semiHidden/>
    <w:qFormat/>
    <w:uiPriority w:val="99"/>
    <w:rPr>
      <w:rFonts w:ascii="Calibri" w:hAnsi="Calibri" w:eastAsia="宋体" w:cs="Times New Roman"/>
      <w:sz w:val="18"/>
      <w:szCs w:val="18"/>
    </w:rPr>
  </w:style>
  <w:style w:type="character" w:customStyle="1" w:styleId="12">
    <w:name w:val="font11"/>
    <w:basedOn w:val="8"/>
    <w:qFormat/>
    <w:uiPriority w:val="0"/>
    <w:rPr>
      <w:rFonts w:hint="default" w:ascii="Helvetica" w:hAnsi="Helvetica" w:eastAsia="Helvetica" w:cs="Helvetica"/>
      <w:color w:val="3E3E3E"/>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3601;&#19994;&#24773;&#20917;\2017&#23626;&#23601;&#19994;&#24773;&#20917;&#20998;&#26512;.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65288;&#20462;&#35746;&#29256;&#65289;2018&#23626;&#37329;&#34701;&#30805;&#22763;&#23601;&#19994;&#24773;&#20917;.xls"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oleObject" Target="file:///C:\Users\Administrator\Desktop\&#23601;&#19994;&#24773;&#20917;\2019&#23626;\&#26368;&#32456;&#29256;-2019&#23626;&#37329;&#34701;&#30805;&#22763;&#23601;&#19994;&#21435;&#21521;2019052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4037;&#20316;\4&#23398;&#31185;&#24314;&#35774;\2&#12289;&#23601;&#19994;&#24773;&#20917;\2020&#23626;\20201106-2020&#23626;&#37329;&#34701;&#30805;&#22763;&#23601;&#19994;&#21435;&#21521;&#32479;&#35745;&#25968;&#25454;.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G:\4&#23398;&#31185;&#24314;&#35774;\2&#12289;&#23601;&#19994;&#24773;&#20917;\2021&#23626;\20210609-2021&#23626;&#37329;&#34701;&#65288;&#39118;&#38505;&#31649;&#29702;&#26041;&#21521;&#65289;&#30805;&#22763;&#23601;&#19994;&#21435;&#21521;&#32479;&#35745;&#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2&#12289;&#23601;&#19994;&#24773;&#20917;\2022&#23626;\20220905-&#23601;&#19994;&#24773;&#209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026799281669"/>
          <c:y val="0.138769435998718"/>
          <c:w val="0.443937007874016"/>
          <c:h val="0.835129024713495"/>
        </c:manualLayout>
      </c:layout>
      <c:pieChart>
        <c:varyColors val="1"/>
        <c:ser>
          <c:idx val="0"/>
          <c:order val="0"/>
          <c:tx>
            <c:strRef>
              <c:f>Sheet1!$B$1</c:f>
              <c:strCache>
                <c:ptCount val="1"/>
                <c:pt idx="0">
                  <c:v>人数</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Sheet1!$A$2:$A$6</c:f>
              <c:strCache>
                <c:ptCount val="5"/>
                <c:pt idx="0">
                  <c:v>银行</c:v>
                </c:pt>
                <c:pt idx="1">
                  <c:v>证券公司（或其子公司）</c:v>
                </c:pt>
                <c:pt idx="2">
                  <c:v>基金（或其子公司）</c:v>
                </c:pt>
                <c:pt idx="3">
                  <c:v>中央机关</c:v>
                </c:pt>
                <c:pt idx="4">
                  <c:v>其他金融机构</c:v>
                </c:pt>
              </c:strCache>
            </c:strRef>
          </c:cat>
          <c:val>
            <c:numRef>
              <c:f>Sheet1!$B$2:$B$6</c:f>
              <c:numCache>
                <c:formatCode>General</c:formatCode>
                <c:ptCount val="5"/>
                <c:pt idx="0">
                  <c:v>21</c:v>
                </c:pt>
                <c:pt idx="1">
                  <c:v>13</c:v>
                </c:pt>
                <c:pt idx="2">
                  <c:v>4</c:v>
                </c:pt>
                <c:pt idx="3">
                  <c:v>3</c:v>
                </c:pt>
                <c:pt idx="4">
                  <c:v>15</c:v>
                </c:pt>
              </c:numCache>
            </c:numRef>
          </c:val>
        </c:ser>
        <c:dLbls>
          <c:showLegendKey val="0"/>
          <c:showVal val="0"/>
          <c:showCatName val="0"/>
          <c:showSerName val="0"/>
          <c:showPercent val="1"/>
          <c:showBubbleSize val="0"/>
          <c:showLeaderLines val="0"/>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6350"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[2017届就业情况分析.xlsx]Sheet1!$C$1</c:f>
              <c:strCache>
                <c:ptCount val="1"/>
                <c:pt idx="0">
                  <c:v>比例</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[2017届就业情况分析.xlsx]Sheet1!$B$2:$B$6</c:f>
              <c:strCache>
                <c:ptCount val="5"/>
                <c:pt idx="0">
                  <c:v>银行</c:v>
                </c:pt>
                <c:pt idx="1">
                  <c:v>证券公司（或其子公司）</c:v>
                </c:pt>
                <c:pt idx="2">
                  <c:v>基金公司（或其子公司）</c:v>
                </c:pt>
                <c:pt idx="3">
                  <c:v>中央机关</c:v>
                </c:pt>
                <c:pt idx="4">
                  <c:v>其他金融机构</c:v>
                </c:pt>
              </c:strCache>
            </c:strRef>
          </c:cat>
          <c:val>
            <c:numRef>
              <c:f>[2017届就业情况分析.xlsx]Sheet1!$C$2:$C$6</c:f>
              <c:numCache>
                <c:formatCode>0%</c:formatCode>
                <c:ptCount val="5"/>
                <c:pt idx="0">
                  <c:v>0.491525423728814</c:v>
                </c:pt>
                <c:pt idx="1">
                  <c:v>0.169491525423729</c:v>
                </c:pt>
                <c:pt idx="2">
                  <c:v>0.0338983050847458</c:v>
                </c:pt>
                <c:pt idx="3">
                  <c:v>0.0847457627118644</c:v>
                </c:pt>
                <c:pt idx="4">
                  <c:v>0.220338983050847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'[（修订版）2018届金融硕士就业情况.xls]比例'!$C$13</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'[（修订版）2018届金融硕士就业情况.xls]比例'!$B$14:$B$17</c:f>
              <c:strCache>
                <c:ptCount val="4"/>
                <c:pt idx="0">
                  <c:v>商业银行</c:v>
                </c:pt>
                <c:pt idx="1">
                  <c:v>证券基金</c:v>
                </c:pt>
                <c:pt idx="2">
                  <c:v>其他顶级金融机构</c:v>
                </c:pt>
                <c:pt idx="3">
                  <c:v>国家部委</c:v>
                </c:pt>
              </c:strCache>
            </c:strRef>
          </c:cat>
          <c:val>
            <c:numRef>
              <c:f>'[（修订版）2018届金融硕士就业情况.xls]比例'!$C$14:$C$17</c:f>
              <c:numCache>
                <c:formatCode>0%</c:formatCode>
                <c:ptCount val="4"/>
                <c:pt idx="0">
                  <c:v>0.379310344827586</c:v>
                </c:pt>
                <c:pt idx="1">
                  <c:v>0.206896551724138</c:v>
                </c:pt>
                <c:pt idx="2">
                  <c:v>0.293103448275862</c:v>
                </c:pt>
                <c:pt idx="3">
                  <c:v>0.120689655172414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3059837993206"/>
          <c:y val="0.138919514884234"/>
          <c:w val="0.463809772667886"/>
          <c:h val="0.782800441014333"/>
        </c:manualLayout>
      </c:layout>
      <c:pieChart>
        <c:varyColors val="1"/>
        <c:ser>
          <c:idx val="0"/>
          <c:order val="0"/>
          <c:tx>
            <c:strRef>
              <c:f>'[最终版-2019届金融硕士就业去向20190521.xlsx]类别和地区分布图'!$C$1</c:f>
              <c:strCache>
                <c:ptCount val="1"/>
                <c:pt idx="0">
                  <c:v>人数</c:v>
                </c:pt>
              </c:strCache>
            </c:strRef>
          </c:tx>
          <c:spPr/>
          <c:explosion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'[最终版-2019届金融硕士就业去向20190521.xlsx]类别和地区分布图'!$B$2:$B$5</c:f>
              <c:strCache>
                <c:ptCount val="4"/>
                <c:pt idx="0">
                  <c:v>商业银行</c:v>
                </c:pt>
                <c:pt idx="1">
                  <c:v>证券基金</c:v>
                </c:pt>
                <c:pt idx="2">
                  <c:v>其他顶级金融机构</c:v>
                </c:pt>
                <c:pt idx="3">
                  <c:v>国家部委</c:v>
                </c:pt>
              </c:strCache>
            </c:strRef>
          </c:cat>
          <c:val>
            <c:numRef>
              <c:f>'[最终版-2019届金融硕士就业去向20190521.xlsx]类别和地区分布图'!$C$2:$C$5</c:f>
            </c:numRef>
          </c:val>
        </c:ser>
        <c:ser>
          <c:idx val="1"/>
          <c:order val="1"/>
          <c:tx>
            <c:strRef>
              <c:f>'[最终版-2019届金融硕士就业去向20190521.xlsx]类别和地区分布图'!$D$1</c:f>
              <c:strCache>
                <c:ptCount val="1"/>
                <c:pt idx="0">
                  <c:v>占比</c:v>
                </c:pt>
              </c:strCache>
            </c:strRef>
          </c:tx>
          <c:spPr/>
          <c:explosion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'[最终版-2019届金融硕士就业去向20190521.xlsx]类别和地区分布图'!$B$2:$B$5</c:f>
              <c:strCache>
                <c:ptCount val="4"/>
                <c:pt idx="0">
                  <c:v>商业银行</c:v>
                </c:pt>
                <c:pt idx="1">
                  <c:v>证券基金</c:v>
                </c:pt>
                <c:pt idx="2">
                  <c:v>其他顶级金融机构</c:v>
                </c:pt>
                <c:pt idx="3">
                  <c:v>国家部委</c:v>
                </c:pt>
              </c:strCache>
            </c:strRef>
          </c:cat>
          <c:val>
            <c:numRef>
              <c:f>'[最终版-2019届金融硕士就业去向20190521.xlsx]类别和地区分布图'!$D$2:$D$5</c:f>
            </c:numRef>
          </c:val>
        </c:ser>
        <c:ser>
          <c:idx val="2"/>
          <c:order val="2"/>
          <c:tx>
            <c:strRef>
              <c:f>'[最终版-2019届金融硕士就业去向20190521.xlsx]类别和地区分布图'!$E$1</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'[最终版-2019届金融硕士就业去向20190521.xlsx]类别和地区分布图'!$B$2:$B$5</c:f>
              <c:strCache>
                <c:ptCount val="4"/>
                <c:pt idx="0">
                  <c:v>商业银行</c:v>
                </c:pt>
                <c:pt idx="1">
                  <c:v>证券基金</c:v>
                </c:pt>
                <c:pt idx="2">
                  <c:v>其他顶级金融机构</c:v>
                </c:pt>
                <c:pt idx="3">
                  <c:v>国家部委</c:v>
                </c:pt>
              </c:strCache>
            </c:strRef>
          </c:cat>
          <c:val>
            <c:numRef>
              <c:f>'[最终版-2019届金融硕士就业去向20190521.xlsx]类别和地区分布图'!$E$2:$E$5</c:f>
              <c:numCache>
                <c:formatCode>0%</c:formatCode>
                <c:ptCount val="4"/>
                <c:pt idx="0">
                  <c:v>0.403508771929825</c:v>
                </c:pt>
                <c:pt idx="1">
                  <c:v>0.105263157894737</c:v>
                </c:pt>
                <c:pt idx="2">
                  <c:v>0.38</c:v>
                </c:pt>
                <c:pt idx="3">
                  <c:v>0.105263157894737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'[20201106-2020届金融硕士就业去向统计数据.xlsx]统计分布'!$G$5:$G$8</c:f>
              <c:strCache>
                <c:ptCount val="4"/>
                <c:pt idx="0">
                  <c:v>商业银行</c:v>
                </c:pt>
                <c:pt idx="1">
                  <c:v>证券基金</c:v>
                </c:pt>
                <c:pt idx="2">
                  <c:v>其他非银机构</c:v>
                </c:pt>
                <c:pt idx="3">
                  <c:v>政府机关</c:v>
                </c:pt>
              </c:strCache>
            </c:strRef>
          </c:cat>
          <c:val>
            <c:numRef>
              <c:f>'[20201106-2020届金融硕士就业去向统计数据.xlsx]统计分布'!$H$5:$H$8</c:f>
              <c:numCache>
                <c:formatCode>0%</c:formatCode>
                <c:ptCount val="4"/>
                <c:pt idx="0">
                  <c:v>0.421052631578947</c:v>
                </c:pt>
                <c:pt idx="1">
                  <c:v>0.175438596491228</c:v>
                </c:pt>
                <c:pt idx="2">
                  <c:v>0.315789473684211</c:v>
                </c:pt>
                <c:pt idx="3">
                  <c:v>0.087719298245614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00"/>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'[20210609-2021届金融（风险管理方向）硕士就业去向统计表.xlsx]Sheet1'!$I$60:$I$64</c:f>
              <c:strCache>
                <c:ptCount val="5"/>
                <c:pt idx="0">
                  <c:v>证券</c:v>
                </c:pt>
                <c:pt idx="1">
                  <c:v>基金</c:v>
                </c:pt>
                <c:pt idx="2">
                  <c:v>商业银行</c:v>
                </c:pt>
                <c:pt idx="3">
                  <c:v>其他顶级金融机构</c:v>
                </c:pt>
                <c:pt idx="4">
                  <c:v>机关事业单位</c:v>
                </c:pt>
              </c:strCache>
            </c:strRef>
          </c:cat>
          <c:val>
            <c:numRef>
              <c:f>'[20210609-2021届金融（风险管理方向）硕士就业去向统计表.xlsx]Sheet1'!$J$60:$J$64</c:f>
              <c:numCache>
                <c:formatCode>0%</c:formatCode>
                <c:ptCount val="5"/>
                <c:pt idx="0">
                  <c:v>0.166666666666667</c:v>
                </c:pt>
                <c:pt idx="1">
                  <c:v>0.0925925925925926</c:v>
                </c:pt>
                <c:pt idx="2">
                  <c:v>0.351851851851852</c:v>
                </c:pt>
                <c:pt idx="3">
                  <c:v>0.296296296296296</c:v>
                </c:pt>
                <c:pt idx="4">
                  <c:v>0.0925925925925926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'[20220905-就业情况.xlsx]Sheet2'!$B$2</c:f>
              <c:strCache>
                <c:ptCount val="1"/>
                <c:pt idx="0">
                  <c:v>百分比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'[20220905-就业情况.xlsx]Sheet2'!$A$3:$A$6</c:f>
              <c:strCache>
                <c:ptCount val="4"/>
                <c:pt idx="0">
                  <c:v>证券基金</c:v>
                </c:pt>
                <c:pt idx="1">
                  <c:v>商业银行总行</c:v>
                </c:pt>
                <c:pt idx="2">
                  <c:v>机关事业单位</c:v>
                </c:pt>
                <c:pt idx="3">
                  <c:v>其他顶级金融机构</c:v>
                </c:pt>
              </c:strCache>
            </c:strRef>
          </c:cat>
          <c:val>
            <c:numRef>
              <c:f>'[20220905-就业情况.xlsx]Sheet2'!$B$3:$B$6</c:f>
              <c:numCache>
                <c:formatCode>0%</c:formatCode>
                <c:ptCount val="4"/>
                <c:pt idx="0">
                  <c:v>0.428571428571429</c:v>
                </c:pt>
                <c:pt idx="1">
                  <c:v>0.26984126984127</c:v>
                </c:pt>
                <c:pt idx="2">
                  <c:v>0.0634920634920635</c:v>
                </c:pt>
                <c:pt idx="3">
                  <c:v>0.238095238095238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RUC</Company>
  <Pages>17</Pages>
  <Words>6284</Words>
  <Characters>6681</Characters>
  <Lines>18</Lines>
  <Paragraphs>5</Paragraphs>
  <TotalTime>1</TotalTime>
  <ScaleCrop>false</ScaleCrop>
  <LinksUpToDate>false</LinksUpToDate>
  <CharactersWithSpaces>6684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2017-04-12T01:07:00Z</dcterms:created>
  <dc:creator>任伟明</dc:creator>
  <cp:lastModifiedBy>马润有</cp:lastModifiedBy>
  <cp:lastPrinted>2017-04-12T01:03:00Z</cp:lastPrinted>
  <dcterms:modified xsi:type="dcterms:W3CDTF">2023-06-05T08:35:18Z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85DB90523C5840B2B9B6D979AAF84B2F</vt:lpwstr>
  </property>
</Properties>
</file>