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74"/>
        </w:tabs>
        <w:spacing w:line="590" w:lineRule="exact"/>
        <w:ind w:firstLine="643" w:firstLineChars="200"/>
        <w:rPr>
          <w:rFonts w:ascii="仿宋_GB2312" w:eastAsia="仿宋_GB2312"/>
          <w:b/>
          <w:bCs/>
          <w:sz w:val="32"/>
          <w:szCs w:val="32"/>
        </w:rPr>
      </w:pPr>
    </w:p>
    <w:tbl>
      <w:tblPr>
        <w:tblStyle w:val="3"/>
        <w:tblW w:w="15498" w:type="dxa"/>
        <w:tblInd w:w="-694" w:type="dxa"/>
        <w:tblLayout w:type="autofit"/>
        <w:tblCellMar>
          <w:top w:w="15" w:type="dxa"/>
          <w:left w:w="15" w:type="dxa"/>
          <w:bottom w:w="15" w:type="dxa"/>
          <w:right w:w="15" w:type="dxa"/>
        </w:tblCellMar>
      </w:tblPr>
      <w:tblGrid>
        <w:gridCol w:w="1418"/>
        <w:gridCol w:w="1134"/>
        <w:gridCol w:w="3119"/>
        <w:gridCol w:w="1701"/>
        <w:gridCol w:w="2835"/>
        <w:gridCol w:w="850"/>
        <w:gridCol w:w="1134"/>
        <w:gridCol w:w="3260"/>
        <w:gridCol w:w="47"/>
      </w:tblGrid>
      <w:tr>
        <w:tblPrEx>
          <w:tblCellMar>
            <w:top w:w="15" w:type="dxa"/>
            <w:left w:w="15" w:type="dxa"/>
            <w:bottom w:w="15" w:type="dxa"/>
            <w:right w:w="15" w:type="dxa"/>
          </w:tblCellMar>
        </w:tblPrEx>
        <w:trPr>
          <w:trHeight w:val="435" w:hRule="atLeast"/>
        </w:trPr>
        <w:tc>
          <w:tcPr>
            <w:tcW w:w="15498" w:type="dxa"/>
            <w:gridSpan w:val="9"/>
            <w:shd w:val="clear" w:color="auto" w:fill="auto"/>
            <w:vAlign w:val="center"/>
          </w:tcPr>
          <w:p>
            <w:pPr>
              <w:widowControl/>
              <w:jc w:val="center"/>
              <w:textAlignment w:val="center"/>
              <w:rPr>
                <w:rFonts w:ascii="黑体" w:hAnsi="宋体" w:eastAsia="黑体" w:cs="黑体"/>
                <w:color w:val="000000"/>
                <w:kern w:val="0"/>
                <w:sz w:val="36"/>
                <w:szCs w:val="36"/>
                <w:lang w:bidi="ar"/>
              </w:rPr>
            </w:pPr>
            <w:r>
              <w:rPr>
                <w:rFonts w:ascii="黑体" w:hAnsi="宋体" w:eastAsia="黑体" w:cs="黑体"/>
                <w:color w:val="000000"/>
                <w:kern w:val="0"/>
                <w:sz w:val="36"/>
                <w:szCs w:val="36"/>
                <w:lang w:bidi="ar"/>
              </w:rPr>
              <w:t>2022年度秋季校园招聘岗位参考表</w:t>
            </w:r>
          </w:p>
          <w:p>
            <w:pPr>
              <w:widowControl/>
              <w:jc w:val="center"/>
              <w:textAlignment w:val="center"/>
              <w:rPr>
                <w:rFonts w:ascii="黑体" w:hAnsi="宋体" w:eastAsia="黑体" w:cs="黑体"/>
                <w:color w:val="000000"/>
                <w:kern w:val="0"/>
                <w:sz w:val="36"/>
                <w:szCs w:val="36"/>
                <w:lang w:bidi="ar"/>
              </w:rPr>
            </w:pPr>
          </w:p>
        </w:tc>
      </w:tr>
      <w:tr>
        <w:tblPrEx>
          <w:tblCellMar>
            <w:top w:w="15" w:type="dxa"/>
            <w:left w:w="15" w:type="dxa"/>
            <w:bottom w:w="15" w:type="dxa"/>
            <w:right w:w="15" w:type="dxa"/>
          </w:tblCellMar>
        </w:tblPrEx>
        <w:trPr>
          <w:gridAfter w:val="1"/>
          <w:wAfter w:w="47" w:type="dxa"/>
          <w:trHeight w:val="360" w:hRule="atLeast"/>
        </w:trPr>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岗位名称/对外发布名称</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职位描述</w:t>
            </w:r>
          </w:p>
        </w:tc>
        <w:tc>
          <w:tcPr>
            <w:tcW w:w="1289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职位要求</w:t>
            </w:r>
          </w:p>
        </w:tc>
      </w:tr>
      <w:tr>
        <w:tblPrEx>
          <w:tblCellMar>
            <w:top w:w="15" w:type="dxa"/>
            <w:left w:w="15" w:type="dxa"/>
            <w:bottom w:w="15" w:type="dxa"/>
            <w:right w:w="15" w:type="dxa"/>
          </w:tblCellMar>
        </w:tblPrEx>
        <w:trPr>
          <w:gridAfter w:val="1"/>
          <w:wAfter w:w="47" w:type="dxa"/>
          <w:trHeight w:val="510" w:hRule="atLeast"/>
        </w:trPr>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szCs w:val="24"/>
              </w:rPr>
            </w:pP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基本条件</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院校及学历条件</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外语条件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专业条件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其他条件</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szCs w:val="24"/>
              </w:rPr>
            </w:pPr>
            <w:r>
              <w:rPr>
                <w:rFonts w:hint="eastAsia" w:ascii="宋体" w:hAnsi="宋体" w:cs="宋体"/>
                <w:b/>
                <w:color w:val="000000"/>
                <w:kern w:val="0"/>
                <w:sz w:val="24"/>
                <w:szCs w:val="24"/>
                <w:lang w:bidi="ar"/>
              </w:rPr>
              <w:t>可予以优先考虑的情形</w:t>
            </w:r>
          </w:p>
        </w:tc>
      </w:tr>
      <w:tr>
        <w:tblPrEx>
          <w:tblCellMar>
            <w:top w:w="15" w:type="dxa"/>
            <w:left w:w="15" w:type="dxa"/>
            <w:bottom w:w="15" w:type="dxa"/>
            <w:right w:w="15" w:type="dxa"/>
          </w:tblCellMar>
        </w:tblPrEx>
        <w:trPr>
          <w:gridAfter w:val="1"/>
          <w:wAfter w:w="47" w:type="dxa"/>
          <w:trHeight w:val="303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海外英才计划</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通过境内分行与境外机构联合培训培养，为分行本部储备具备国际化视野和专业岗位经历的业务人才。</w:t>
            </w:r>
          </w:p>
        </w:tc>
        <w:tc>
          <w:tcPr>
            <w:tcW w:w="3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1.招聘录用人员须为2022年应届毕业生。</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对毕业后户口、档案、组织关系仍保留在原毕业学校、或保留在各级毕业生就业主管部门（毕业生就业指导服务中心）、各级人才交流服务机构和各级公共就业服务机构，且毕业至今从未与其他单位建立劳动关系的2021年境内高校毕业生，可以按照2022年应届毕业生对待。</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2.境内院校应届毕业生须在2022年7月31日前毕业，报到时须获得国家认可的就业报到证、与最高学历对应的毕业证和与最高学历对应的学位证。</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3.境外院校应届毕业生须在2021年1月1日至2022年7月31日期间毕业，报到时须获得与最高学历对应的毕业证和与最高学历对应的学位证，以及国家教育部留学服务中心出具的学历（学位）认证，并须为初次就业人员。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4.境内院校应届毕业生的毕业时间以毕业证书落款时间为准；境外院校应届毕业生的毕业时间以国家教育部留学服务中心出具的学历（学位）认证上的毕业时间为准。</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1.境内院校毕业生须具有国家统招的普通高等院校大学本科（含）以上学历、学位。</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2.境外院校毕业生须具有教育部认可的境外正规高等院校大学本科（含）以上学历、学位。</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1.主修语种为英语的，国家大学英语考试六级（CET6）成绩应在550分以上，或新托福（IBT）考试90分以上，或雅思（IELTS）考试6.5分以上。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2.主修专业为英语的，应通过专业英语八级考试或相应等级英语水平考试。</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3.上述各项证书（成绩）应处有效期内，除上述英语证书（成绩）以外，我行不接受以其他英语资格证书（成绩）。</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4.主修专业及主修语种为其他外语的，应比照上述英语水平的要求，通过国内外权威机构针对该语种的高级水平考试。</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专业不限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最高学历阶段的学习成绩综合排名应在本专业前30%以内（以学校教务部门盖章的成绩单为准）。</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1.校级（含）以上优秀学生干部、三好学生、优秀毕业生、优秀奖学金等荣誉及奖励获得者，以及拥有社团负责人经历、金融行业相关实习经历者，可予以优先考虑。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2.具备多语种工作能力者可予以优先考虑。</w:t>
            </w:r>
          </w:p>
        </w:tc>
      </w:tr>
      <w:tr>
        <w:tblPrEx>
          <w:tblCellMar>
            <w:top w:w="15" w:type="dxa"/>
            <w:left w:w="15" w:type="dxa"/>
            <w:bottom w:w="15" w:type="dxa"/>
            <w:right w:w="15" w:type="dxa"/>
          </w:tblCellMar>
        </w:tblPrEx>
        <w:trPr>
          <w:gridAfter w:val="1"/>
          <w:wAfter w:w="47" w:type="dxa"/>
          <w:trHeight w:val="1695"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星辰管培生计划</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主要为辖内分支机构管理类岗位提供基础人才储备。</w:t>
            </w:r>
          </w:p>
        </w:tc>
        <w:tc>
          <w:tcPr>
            <w:tcW w:w="3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具有良好的英语能力，具体如下：</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1.主修语种为英语的，须通过国家大学英语四级（CET4）考试（成绩在425分及以上），或托业（TOEIC）听读公开考试630分及以上，或新托福（TOEFL-IBT）考试75分及以上，或雅思（IELTS）考试5.5分及以上。</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2.主修语种为其他外语的，应通过该语种相应的外语水平考试（如专业四级、八级等）。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3.英语专业毕业生应至少达到专业英语四级（含）以上水平；其他外语专业毕业生应通过该语种相应的外语水平考试（如专业四级、八级等）。</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4.以上外语考试成绩及证书报到时须在有效期内。</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以经济、金融、统计、法学以及计算机、电子信息、制造、数学、物理、工程等理学、工学专业背景为主。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具备较强的综合分析、判断决策、人际影响与团队领导能力，具有挑战精神、成就欲望和管理潜质，愿意承担具有挑战性的工作任务，抗压能力强。</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1.校级（含）以上优秀学生干部、三好学生、优秀毕业生、优秀奖学金等荣誉及奖励获得者，以及拥有社团负责人经历、金融行业相关实习经历者，可予以优先考虑。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2.具备多语种工作能力者可予以优先考虑。</w:t>
            </w:r>
          </w:p>
        </w:tc>
      </w:tr>
      <w:tr>
        <w:tblPrEx>
          <w:tblCellMar>
            <w:top w:w="15" w:type="dxa"/>
            <w:left w:w="15" w:type="dxa"/>
            <w:bottom w:w="15" w:type="dxa"/>
            <w:right w:w="15" w:type="dxa"/>
          </w:tblCellMar>
        </w:tblPrEx>
        <w:trPr>
          <w:gridAfter w:val="1"/>
          <w:wAfter w:w="47" w:type="dxa"/>
          <w:trHeight w:val="240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专业英才计划</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Style w:val="6"/>
                <w:rFonts w:hint="default"/>
                <w:lang w:bidi="ar"/>
              </w:rPr>
              <w:t>1.培养方向一：新兴业务类</w:t>
            </w:r>
            <w:r>
              <w:rPr>
                <w:rStyle w:val="7"/>
                <w:rFonts w:hint="default"/>
                <w:lang w:bidi="ar"/>
              </w:rPr>
              <w:t>人才储备</w:t>
            </w:r>
            <w:r>
              <w:rPr>
                <w:rStyle w:val="6"/>
                <w:rFonts w:hint="default"/>
                <w:lang w:bidi="ar"/>
              </w:rPr>
              <w:t>。</w:t>
            </w:r>
            <w:r>
              <w:rPr>
                <w:rStyle w:val="7"/>
                <w:rFonts w:hint="default"/>
                <w:lang w:bidi="ar"/>
              </w:rPr>
              <w:t>目标定位成为投资银行、国际业务、资产管理、数字金融、法律风险等金融新兴发展领域相关岗位专业人才。</w:t>
            </w:r>
            <w:r>
              <w:rPr>
                <w:rStyle w:val="7"/>
                <w:rFonts w:hint="default"/>
                <w:lang w:bidi="ar"/>
              </w:rPr>
              <w:br w:type="textWrapping"/>
            </w:r>
            <w:r>
              <w:rPr>
                <w:rStyle w:val="6"/>
                <w:rFonts w:hint="default"/>
                <w:lang w:bidi="ar"/>
              </w:rPr>
              <w:t>2.培养方向二：重点业务类</w:t>
            </w:r>
            <w:r>
              <w:rPr>
                <w:rStyle w:val="7"/>
                <w:rFonts w:hint="default"/>
                <w:lang w:bidi="ar"/>
              </w:rPr>
              <w:t>人才储备</w:t>
            </w:r>
            <w:r>
              <w:rPr>
                <w:rStyle w:val="6"/>
                <w:rFonts w:hint="default"/>
                <w:lang w:bidi="ar"/>
              </w:rPr>
              <w:t>。</w:t>
            </w:r>
            <w:r>
              <w:rPr>
                <w:rStyle w:val="7"/>
                <w:rFonts w:hint="default"/>
                <w:lang w:bidi="ar"/>
              </w:rPr>
              <w:t>目标定位成为公司金融、个人金融、机构金融等银行主营业务领域相关岗位专业人才。</w:t>
            </w:r>
          </w:p>
        </w:tc>
        <w:tc>
          <w:tcPr>
            <w:tcW w:w="3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以经济、金融、统计、法学以及计算机、电子信息、制造、数学、物理、工程等理学、工学专业背景为主。根据需要，适当招录日语等小语种、通信、物联网工程、生物医药、纳米科技等相关行业的对口专业。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具有较强的学习适应能力、研究能力、抗压能力和团队协作能力，具有钻研精神和创新意识。</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1.在校期间获得相关科研成果或在相关专业期刊上发表过著作，以及校级（含）以上优秀学生干部、三好学生、优秀毕业生、优秀奖学金等荣誉及奖励获得者，可予以优先考虑。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2.擅长使用R、Python、SAS等数据统计分析语言进行数据分析挖掘者，可予以优先考虑。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3.具备多语种工作能力者可予以优先考虑。</w:t>
            </w:r>
          </w:p>
        </w:tc>
      </w:tr>
      <w:tr>
        <w:tblPrEx>
          <w:tblCellMar>
            <w:top w:w="15" w:type="dxa"/>
            <w:left w:w="15" w:type="dxa"/>
            <w:bottom w:w="15" w:type="dxa"/>
            <w:right w:w="15" w:type="dxa"/>
          </w:tblCellMar>
        </w:tblPrEx>
        <w:trPr>
          <w:gridAfter w:val="1"/>
          <w:wAfter w:w="47" w:type="dxa"/>
          <w:trHeight w:val="1545"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科技菁英计划</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Style w:val="6"/>
                <w:rFonts w:hint="default"/>
                <w:lang w:bidi="ar"/>
              </w:rPr>
              <w:t>培养方向：</w:t>
            </w:r>
            <w:r>
              <w:rPr>
                <w:rStyle w:val="7"/>
                <w:rFonts w:hint="default"/>
                <w:lang w:bidi="ar"/>
              </w:rPr>
              <w:t>用户研究、产品设计类专业人才。目标定位成为各分行平台建设、产品研发、信息安全与管理等方面的金融科技专业人才。</w:t>
            </w:r>
          </w:p>
        </w:tc>
        <w:tc>
          <w:tcPr>
            <w:tcW w:w="3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以电子信息科学类、计算机类、数理统计类、设计类等相关专业为主。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具有较强学习能力、研究能力和创新能力，富有专研精神，能够较好地进行团队合作。</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1.在校期间拥有科技类产品研发实习经历，或相关科研项目经历者，可予以优先考虑。</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2.具备多语种工作能力者可予以优先考虑。</w:t>
            </w:r>
          </w:p>
        </w:tc>
      </w:tr>
      <w:tr>
        <w:tblPrEx>
          <w:tblCellMar>
            <w:top w:w="15" w:type="dxa"/>
            <w:left w:w="15" w:type="dxa"/>
            <w:bottom w:w="15" w:type="dxa"/>
            <w:right w:w="15" w:type="dxa"/>
          </w:tblCellMar>
        </w:tblPrEx>
        <w:trPr>
          <w:gridAfter w:val="1"/>
          <w:wAfter w:w="47" w:type="dxa"/>
          <w:trHeight w:val="1530"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客户经理岗位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Style w:val="6"/>
                <w:rFonts w:hint="default"/>
                <w:lang w:bidi="ar"/>
              </w:rPr>
              <w:t>1.培养方向一：个人金融营销岗位。</w:t>
            </w:r>
            <w:r>
              <w:rPr>
                <w:rStyle w:val="7"/>
                <w:rFonts w:hint="default"/>
                <w:lang w:bidi="ar"/>
              </w:rPr>
              <w:t>目标定位成为个人客户拓展及维护、财富管理设计、理财产品销售的营销人才。</w:t>
            </w:r>
            <w:r>
              <w:rPr>
                <w:rStyle w:val="7"/>
                <w:rFonts w:hint="default"/>
                <w:lang w:bidi="ar"/>
              </w:rPr>
              <w:br w:type="textWrapping"/>
            </w:r>
            <w:r>
              <w:rPr>
                <w:rStyle w:val="6"/>
                <w:rFonts w:hint="default"/>
                <w:lang w:bidi="ar"/>
              </w:rPr>
              <w:t>2.培养方向二：对公金融营销岗位。</w:t>
            </w:r>
            <w:r>
              <w:rPr>
                <w:rStyle w:val="7"/>
                <w:rFonts w:hint="default"/>
                <w:lang w:bidi="ar"/>
              </w:rPr>
              <w:t>目标定位成为对公客户拓展及管理、服务方案设计、产品销售管理的营销人才。</w:t>
            </w:r>
          </w:p>
        </w:tc>
        <w:tc>
          <w:tcPr>
            <w:tcW w:w="3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专业不限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具有较强的人际沟通影响能力和抗压能力，对市场及客户需求具有较强的洞察力和敏锐性。</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在校期间具有营销岗位实习或社团外联经历者，可予以优先考虑。</w:t>
            </w:r>
          </w:p>
        </w:tc>
      </w:tr>
      <w:tr>
        <w:tblPrEx>
          <w:tblCellMar>
            <w:top w:w="15" w:type="dxa"/>
            <w:left w:w="15" w:type="dxa"/>
            <w:bottom w:w="15" w:type="dxa"/>
            <w:right w:w="15" w:type="dxa"/>
          </w:tblCellMar>
        </w:tblPrEx>
        <w:trPr>
          <w:gridAfter w:val="1"/>
          <w:wAfter w:w="47" w:type="dxa"/>
          <w:trHeight w:val="2055"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客服经理岗位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Style w:val="6"/>
                <w:rFonts w:hint="default"/>
                <w:lang w:bidi="ar"/>
              </w:rPr>
              <w:t>实行定向招录</w:t>
            </w:r>
            <w:r>
              <w:rPr>
                <w:rStyle w:val="7"/>
                <w:rFonts w:hint="default"/>
                <w:lang w:bidi="ar"/>
              </w:rPr>
              <w:t>，根据网点业务运营需要，主要在营业网点从事柜面业务处理、厅堂服务、识别推介营销、智能业务核验等综合服务。</w:t>
            </w:r>
          </w:p>
        </w:tc>
        <w:tc>
          <w:tcPr>
            <w:tcW w:w="3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1.境内院校毕业生须具有国家统招的普通高等院校大学本科（含）以上学历、学位（含专升本）。</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2.境外院校毕业生须具有教育部认可的境外正规高等院校大学本科（含）以上学历、学位（含专升</w:t>
            </w:r>
            <w:bookmarkStart w:id="0" w:name="_GoBack"/>
            <w:bookmarkEnd w:id="0"/>
            <w:r>
              <w:rPr>
                <w:rFonts w:hint="eastAsia" w:ascii="宋体" w:hAnsi="宋体" w:cs="宋体"/>
                <w:color w:val="000000"/>
                <w:kern w:val="0"/>
                <w:sz w:val="22"/>
                <w:szCs w:val="22"/>
                <w:lang w:bidi="ar"/>
              </w:rPr>
              <w:t>本）。</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不要求外语条件</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专业不限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耐心沉稳，细致专注，具有较好的语言表达能力和亲和力。</w:t>
            </w:r>
          </w:p>
        </w:tc>
        <w:tc>
          <w:tcPr>
            <w:tcW w:w="3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bl>
    <w:p>
      <w:pPr>
        <w:tabs>
          <w:tab w:val="center" w:pos="4474"/>
        </w:tabs>
        <w:spacing w:line="590" w:lineRule="exact"/>
        <w:ind w:firstLine="643" w:firstLineChars="200"/>
        <w:rPr>
          <w:rFonts w:ascii="仿宋_GB2312" w:eastAsia="仿宋_GB2312"/>
          <w:b/>
          <w:bCs/>
          <w:sz w:val="32"/>
          <w:szCs w:val="32"/>
        </w:rPr>
      </w:pPr>
    </w:p>
    <w:p/>
    <w:sectPr>
      <w:pgSz w:w="16838" w:h="11906" w:orient="landscape"/>
      <w:pgMar w:top="1531" w:right="1418" w:bottom="153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B5537"/>
    <w:rsid w:val="5B7B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qFormat/>
    <w:uiPriority w:val="0"/>
    <w:rPr>
      <w:rFonts w:ascii="仿宋_GB2312" w:eastAsia="仿宋_GB2312"/>
      <w:sz w:val="18"/>
      <w:szCs w:val="18"/>
    </w:rPr>
  </w:style>
  <w:style w:type="character" w:customStyle="1" w:styleId="6">
    <w:name w:val="font31"/>
    <w:basedOn w:val="4"/>
    <w:uiPriority w:val="0"/>
    <w:rPr>
      <w:rFonts w:hint="eastAsia" w:ascii="宋体" w:hAnsi="宋体" w:eastAsia="宋体" w:cs="宋体"/>
      <w:b/>
      <w:color w:val="000000"/>
      <w:sz w:val="22"/>
      <w:szCs w:val="22"/>
      <w:u w:val="none"/>
    </w:rPr>
  </w:style>
  <w:style w:type="character" w:customStyle="1" w:styleId="7">
    <w:name w:val="font11"/>
    <w:basedOn w:val="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2021-09-30T02:58:00Z</dcterms:created>
  <dc:creator>lenovo</dc:creator>
  <cp:lastModifiedBy>lenovo</cp:lastModifiedBy>
  <dcterms:modified xsi:type="dcterms:W3CDTF">2021-09-30T03:00:50Z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ABCF645E8EE149B2BD0B7F960F1EDBBE</vt:lpwstr>
  </property>
</Properties>
</file>